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34" w:rsidRPr="00BC0234" w:rsidRDefault="00BC0234" w:rsidP="00346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0234">
        <w:rPr>
          <w:rFonts w:ascii="標楷體" w:eastAsia="標楷體" w:hAnsi="標楷體" w:hint="eastAsia"/>
          <w:b/>
          <w:sz w:val="32"/>
          <w:szCs w:val="32"/>
        </w:rPr>
        <w:t>○○期貨股份有限公司</w:t>
      </w:r>
    </w:p>
    <w:p w:rsidR="00EB4041" w:rsidRPr="003467C5" w:rsidRDefault="00F75726" w:rsidP="003467C5">
      <w:pPr>
        <w:ind w:leftChars="-236" w:left="1" w:rightChars="-59" w:right="-142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467C5">
        <w:rPr>
          <w:rFonts w:ascii="標楷體" w:eastAsia="標楷體" w:hAnsi="標楷體"/>
          <w:b/>
          <w:sz w:val="32"/>
          <w:szCs w:val="32"/>
        </w:rPr>
        <w:t>期貨交易人參與臺灣期貨交易</w:t>
      </w:r>
      <w:bookmarkStart w:id="0" w:name="_GoBack"/>
      <w:bookmarkEnd w:id="0"/>
      <w:r w:rsidRPr="003467C5">
        <w:rPr>
          <w:rFonts w:ascii="標楷體" w:eastAsia="標楷體" w:hAnsi="標楷體"/>
          <w:b/>
          <w:sz w:val="32"/>
          <w:szCs w:val="32"/>
        </w:rPr>
        <w:t>所盤後</w:t>
      </w:r>
      <w:r w:rsidR="003467C5" w:rsidRPr="003467C5">
        <w:rPr>
          <w:rFonts w:ascii="標楷體" w:eastAsia="標楷體" w:hAnsi="標楷體" w:hint="eastAsia"/>
          <w:b/>
          <w:sz w:val="32"/>
          <w:szCs w:val="32"/>
        </w:rPr>
        <w:t>交易</w:t>
      </w:r>
      <w:r w:rsidRPr="003467C5">
        <w:rPr>
          <w:rFonts w:ascii="標楷體" w:eastAsia="標楷體" w:hAnsi="標楷體"/>
          <w:b/>
          <w:sz w:val="32"/>
          <w:szCs w:val="32"/>
        </w:rPr>
        <w:t>時段交易</w:t>
      </w:r>
      <w:r w:rsidR="005D5988" w:rsidRPr="003467C5">
        <w:rPr>
          <w:rFonts w:ascii="標楷體" w:eastAsia="標楷體" w:hAnsi="標楷體"/>
          <w:b/>
          <w:sz w:val="32"/>
          <w:szCs w:val="32"/>
        </w:rPr>
        <w:t>重點提要</w:t>
      </w:r>
      <w:r w:rsidR="007450B4" w:rsidRPr="003467C5">
        <w:rPr>
          <w:rFonts w:ascii="標楷體" w:eastAsia="標楷體" w:hAnsi="標楷體" w:hint="eastAsia"/>
          <w:b/>
          <w:sz w:val="32"/>
          <w:szCs w:val="32"/>
        </w:rPr>
        <w:t>檢核表</w:t>
      </w:r>
      <w:r w:rsidR="003467C5" w:rsidRPr="003467C5">
        <w:rPr>
          <w:rFonts w:ascii="標楷體" w:eastAsia="標楷體" w:hAnsi="標楷體" w:hint="eastAsia"/>
          <w:b/>
          <w:sz w:val="32"/>
          <w:szCs w:val="32"/>
        </w:rPr>
        <w:t>(範本)</w:t>
      </w:r>
    </w:p>
    <w:p w:rsidR="00DE3221" w:rsidRDefault="003467C5" w:rsidP="006507DA">
      <w:pPr>
        <w:spacing w:line="300" w:lineRule="exact"/>
        <w:ind w:leftChars="-176" w:left="-165" w:hangingChars="107" w:hanging="257"/>
        <w:rPr>
          <w:rFonts w:ascii="Times New Roman" w:eastAsia="標楷體" w:hAnsi="Times New Roman" w:cs="Times New Roman"/>
          <w:b/>
          <w:szCs w:val="24"/>
        </w:rPr>
      </w:pPr>
      <w:r w:rsidRPr="003467C5">
        <w:rPr>
          <w:rFonts w:ascii="新細明體" w:eastAsia="新細明體" w:hAnsi="新細明體" w:cs="新細明體" w:hint="eastAsia"/>
          <w:b/>
          <w:szCs w:val="24"/>
        </w:rPr>
        <w:t>※</w:t>
      </w:r>
      <w:r w:rsidRPr="003467C5">
        <w:rPr>
          <w:rFonts w:ascii="Times New Roman" w:eastAsia="標楷體" w:hAnsi="Times New Roman" w:cs="Times New Roman"/>
          <w:b/>
          <w:szCs w:val="24"/>
        </w:rPr>
        <w:t>交易人請注意：</w:t>
      </w:r>
    </w:p>
    <w:p w:rsidR="003467C5" w:rsidRPr="003467C5" w:rsidRDefault="00DE3221" w:rsidP="006507DA">
      <w:pPr>
        <w:spacing w:line="300" w:lineRule="exact"/>
        <w:ind w:leftChars="-176" w:left="-165" w:hangingChars="107" w:hanging="257"/>
        <w:rPr>
          <w:rFonts w:ascii="Times New Roman" w:eastAsia="標楷體" w:hAnsi="Times New Roman" w:cs="Times New Roman"/>
          <w:b/>
          <w:szCs w:val="24"/>
        </w:rPr>
      </w:pPr>
      <w:r>
        <w:rPr>
          <w:rFonts w:ascii="新細明體" w:eastAsia="新細明體" w:hAnsi="新細明體" w:cs="新細明體" w:hint="eastAsia"/>
          <w:b/>
          <w:szCs w:val="24"/>
        </w:rPr>
        <w:t xml:space="preserve">  </w:t>
      </w:r>
      <w:r w:rsidR="003467C5" w:rsidRPr="003467C5">
        <w:rPr>
          <w:rFonts w:ascii="Times New Roman" w:eastAsia="標楷體" w:hAnsi="Times New Roman" w:cs="Times New Roman"/>
          <w:b/>
          <w:szCs w:val="24"/>
        </w:rPr>
        <w:t>若您未簽署</w:t>
      </w:r>
      <w:r>
        <w:rPr>
          <w:rFonts w:ascii="Times New Roman" w:eastAsia="標楷體" w:hAnsi="Times New Roman" w:cs="Times New Roman" w:hint="eastAsia"/>
          <w:b/>
          <w:szCs w:val="24"/>
        </w:rPr>
        <w:t>本</w:t>
      </w:r>
      <w:r w:rsidR="003467C5" w:rsidRPr="003467C5">
        <w:rPr>
          <w:rFonts w:ascii="Times New Roman" w:eastAsia="標楷體" w:hAnsi="Times New Roman" w:cs="Times New Roman"/>
          <w:b/>
          <w:szCs w:val="24"/>
        </w:rPr>
        <w:t>檢核表，在一般交易時段及盤後交易時段均無法從事</w:t>
      </w:r>
      <w:r w:rsidRPr="00DE3221">
        <w:rPr>
          <w:rFonts w:ascii="Times New Roman" w:eastAsia="標楷體" w:hAnsi="Times New Roman" w:cs="Times New Roman" w:hint="eastAsia"/>
          <w:b/>
          <w:szCs w:val="24"/>
        </w:rPr>
        <w:t>臺灣期貨交易所指定非豁免代為沖銷商品交易</w:t>
      </w:r>
      <w:r w:rsidR="003467C5" w:rsidRPr="003467C5">
        <w:rPr>
          <w:rFonts w:ascii="Times New Roman" w:eastAsia="標楷體" w:hAnsi="Times New Roman" w:cs="Times New Roman"/>
          <w:b/>
          <w:szCs w:val="24"/>
        </w:rPr>
        <w:t>。</w:t>
      </w:r>
    </w:p>
    <w:p w:rsidR="003467C5" w:rsidRPr="003467C5" w:rsidRDefault="003467C5" w:rsidP="003467C5">
      <w:pPr>
        <w:spacing w:line="300" w:lineRule="exact"/>
        <w:ind w:left="531" w:hangingChars="221" w:hanging="531"/>
        <w:rPr>
          <w:rFonts w:ascii="標楷體" w:eastAsia="標楷體" w:hAnsi="標楷體"/>
          <w:b/>
          <w:szCs w:val="24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1337"/>
        <w:gridCol w:w="9011"/>
      </w:tblGrid>
      <w:tr w:rsidR="00354C02" w:rsidRPr="00354C02" w:rsidTr="005C7BF3">
        <w:trPr>
          <w:trHeight w:val="450"/>
        </w:trPr>
        <w:tc>
          <w:tcPr>
            <w:tcW w:w="1337" w:type="dxa"/>
            <w:vAlign w:val="center"/>
          </w:tcPr>
          <w:p w:rsidR="004D4B8A" w:rsidRPr="009068D2" w:rsidRDefault="00A33DD7" w:rsidP="009068D2">
            <w:pPr>
              <w:snapToGrid w:val="0"/>
              <w:spacing w:line="336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68D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圈</w:t>
            </w:r>
            <w:r w:rsidRPr="009068D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9068D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</w:t>
            </w:r>
          </w:p>
        </w:tc>
        <w:tc>
          <w:tcPr>
            <w:tcW w:w="9011" w:type="dxa"/>
            <w:vAlign w:val="center"/>
          </w:tcPr>
          <w:p w:rsidR="004D4B8A" w:rsidRPr="009068D2" w:rsidRDefault="004D4B8A" w:rsidP="009068D2">
            <w:pPr>
              <w:snapToGrid w:val="0"/>
              <w:spacing w:line="336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68D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</w:t>
            </w:r>
            <w:r w:rsidR="009068D2" w:rsidRPr="009068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 </w:t>
            </w:r>
            <w:r w:rsidRPr="009068D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容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4D4B8A" w:rsidRPr="005C7BF3" w:rsidRDefault="0017759F" w:rsidP="005C7BF3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="00C57BF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586BDC" w:rsidRPr="005C7BF3" w:rsidRDefault="00A87D11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美國道瓊期貨、</w:t>
            </w:r>
            <w:proofErr w:type="gramStart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美國標普</w:t>
            </w:r>
            <w:proofErr w:type="gramEnd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期貨</w:t>
            </w:r>
            <w:r w:rsidR="00B4061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r w:rsidR="004D4B8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盤後交易時段</w:t>
            </w:r>
            <w:r w:rsidR="00020A42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為</w:t>
            </w:r>
            <w:r w:rsidR="00020A42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15:00</w:t>
            </w:r>
            <w:r w:rsidR="00020A42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～次日</w:t>
            </w:r>
            <w:r w:rsidR="00020A42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5:00</w:t>
            </w:r>
            <w:r w:rsidR="007811B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8E6A8E" w:rsidRPr="005C7BF3" w:rsidRDefault="00A33DD7" w:rsidP="005C7BF3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8E6A8E" w:rsidRPr="005C7BF3" w:rsidRDefault="00282A7C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歐元兌美元期貨、美元兌日圓期貨</w:t>
            </w:r>
            <w:r w:rsidR="00F6033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等商品</w:t>
            </w:r>
            <w:r w:rsidR="00B4061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r w:rsidR="008E6A8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盤後交易時段為</w:t>
            </w:r>
            <w:r w:rsidR="008E6A8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17:25</w:t>
            </w:r>
            <w:r w:rsidR="008E6A8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～次日</w:t>
            </w:r>
            <w:r w:rsidR="008E6A8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5:00</w:t>
            </w:r>
            <w:r w:rsidR="008E6A8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4D4B8A" w:rsidRPr="005C7BF3" w:rsidRDefault="001F4B00" w:rsidP="005C7BF3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="00043943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不會</w:t>
            </w:r>
          </w:p>
        </w:tc>
        <w:tc>
          <w:tcPr>
            <w:tcW w:w="9011" w:type="dxa"/>
          </w:tcPr>
          <w:p w:rsidR="0017759F" w:rsidRPr="005C7BF3" w:rsidRDefault="00C55B86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股期貨</w:t>
            </w:r>
            <w:r w:rsidR="00DC18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proofErr w:type="gramStart"/>
            <w:r w:rsidR="00A87D11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A87D11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指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選擇權</w:t>
            </w:r>
            <w:r w:rsidR="00DC18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契約、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美元兌人民幣期貨</w:t>
            </w:r>
            <w:r w:rsidR="00DC18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  <w:r w:rsidR="00B4061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選擇權</w:t>
            </w:r>
            <w:r w:rsidR="00DC18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契約</w:t>
            </w:r>
            <w:r w:rsidR="00F271D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等商品於盤後交易時段</w:t>
            </w:r>
            <w:r w:rsidR="001F4B00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會不會</w:t>
            </w:r>
            <w:r w:rsidR="00DC18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被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043943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282A7C" w:rsidRPr="005C7BF3" w:rsidRDefault="001F4B00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="00975B3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不會</w:t>
            </w:r>
          </w:p>
        </w:tc>
        <w:tc>
          <w:tcPr>
            <w:tcW w:w="9011" w:type="dxa"/>
          </w:tcPr>
          <w:p w:rsidR="00282A7C" w:rsidRPr="005C7BF3" w:rsidRDefault="00282A7C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歐元兌美元期貨、美元兌日圓期貨、美國道瓊期貨、</w:t>
            </w:r>
            <w:proofErr w:type="gramStart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美國標普</w:t>
            </w:r>
            <w:proofErr w:type="gramEnd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期貨</w:t>
            </w:r>
            <w:r w:rsidR="00F271D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等商品於一般交易時段及盤後交易時段</w:t>
            </w:r>
            <w:r w:rsidR="00D76B4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proofErr w:type="gramStart"/>
            <w:r w:rsidR="00D76B4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達代沖銷</w:t>
            </w:r>
            <w:proofErr w:type="gramEnd"/>
            <w:r w:rsidR="00D76B4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標準時</w:t>
            </w:r>
            <w:r w:rsidR="001F4B00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會不會</w:t>
            </w:r>
            <w:r w:rsidR="00DC18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被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975B3E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D25FD9" w:rsidRPr="005C7BF3" w:rsidRDefault="00A33DD7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D25FD9" w:rsidRPr="005C7BF3" w:rsidRDefault="00677E35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帳戶中所有留倉部位商品</w:t>
            </w:r>
            <w:r w:rsidR="00D76B45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一般交易時段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收盤後權益數低於維持保證金，雖交易人在</w:t>
            </w:r>
            <w:r w:rsidR="00537A0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期貨商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結算前於盤後交易時段平倉，使權益數高於維持保證金，交易人仍會在</w:t>
            </w:r>
            <w:r w:rsidR="00537A0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期貨商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結算後收到盤後保證金追繳</w:t>
            </w:r>
            <w:r w:rsidR="00A87D11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通知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282A7C" w:rsidRPr="005C7BF3" w:rsidRDefault="0039382E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不會</w:t>
            </w:r>
          </w:p>
        </w:tc>
        <w:tc>
          <w:tcPr>
            <w:tcW w:w="9011" w:type="dxa"/>
          </w:tcPr>
          <w:p w:rsidR="00282A7C" w:rsidRPr="005C7BF3" w:rsidRDefault="00E65D0A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盤後交易時段帳戶僅留有</w:t>
            </w:r>
            <w:r w:rsidR="005C043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r w:rsidR="0053286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被代沖銷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商品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如：</w:t>
            </w:r>
            <w:proofErr w:type="gramStart"/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股期貨</w:t>
            </w:r>
            <w:r w:rsidR="00C55B8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D76B45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部位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A32E3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當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該帳戶權益數低於維持保證金</w:t>
            </w:r>
            <w:r w:rsidR="00EF05C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時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，期貨商</w:t>
            </w:r>
            <w:r w:rsidR="0039382E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會不會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發出高風險帳戶通知。</w:t>
            </w:r>
            <w:r w:rsidR="00D25FD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4D11" w:rsidRPr="004C4D11" w:rsidTr="001F4B00">
        <w:tc>
          <w:tcPr>
            <w:tcW w:w="1337" w:type="dxa"/>
            <w:vAlign w:val="center"/>
          </w:tcPr>
          <w:p w:rsidR="00D25FD9" w:rsidRPr="005C7BF3" w:rsidRDefault="0039382E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不會</w:t>
            </w:r>
          </w:p>
        </w:tc>
        <w:tc>
          <w:tcPr>
            <w:tcW w:w="9011" w:type="dxa"/>
          </w:tcPr>
          <w:p w:rsidR="00D25FD9" w:rsidRPr="005C7BF3" w:rsidRDefault="00D25FD9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盤後交易時段帳戶</w:t>
            </w:r>
            <w:r w:rsidR="00C55B8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留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有</w:t>
            </w:r>
            <w:r w:rsidR="00537BB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</w:t>
            </w:r>
            <w:r w:rsidR="004D459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被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36271B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商品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如：美國道瓊期貨</w:t>
            </w:r>
            <w:r w:rsidR="00C55B8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部位，</w:t>
            </w:r>
            <w:r w:rsidR="00A32E3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當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該帳戶權益數低於維持保證金</w:t>
            </w:r>
            <w:r w:rsidR="00D3671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時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39382E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會不會</w:t>
            </w:r>
            <w:r w:rsidR="004D459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收到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高風險帳戶通知。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4C02" w:rsidRPr="005826F6" w:rsidTr="001F4B00">
        <w:tc>
          <w:tcPr>
            <w:tcW w:w="1337" w:type="dxa"/>
            <w:vAlign w:val="center"/>
          </w:tcPr>
          <w:p w:rsidR="00E763F7" w:rsidRPr="005C7BF3" w:rsidRDefault="00A33DD7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E763F7" w:rsidRPr="005C7BF3" w:rsidRDefault="00AF228B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以後交易時段，帳戶中</w:t>
            </w:r>
            <w:r w:rsidR="00C047D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除</w:t>
            </w:r>
            <w:r w:rsidR="0031157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了</w:t>
            </w:r>
            <w:r w:rsidR="00C047D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留有會被</w:t>
            </w:r>
            <w:r w:rsidR="003467C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</w:t>
            </w:r>
            <w:r w:rsidR="00C047D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沖銷商品</w:t>
            </w:r>
            <w:r w:rsidR="000109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部位</w:t>
            </w:r>
            <w:r w:rsidR="00C047D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外，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同時</w:t>
            </w:r>
            <w:r w:rsidR="000109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含有已進入</w:t>
            </w:r>
            <w:proofErr w:type="gramStart"/>
            <w:r w:rsidR="000109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盤後且</w:t>
            </w:r>
            <w:r w:rsidR="0066491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r w:rsidR="007A5A0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</w:t>
            </w:r>
            <w:proofErr w:type="gramEnd"/>
            <w:r w:rsidR="007A5A0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被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6F72F0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r w:rsidR="0066491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商品</w:t>
            </w:r>
            <w:r w:rsidR="005C043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5C043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如：</w:t>
            </w:r>
            <w:r w:rsidR="00FF36B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盤後時段之</w:t>
            </w:r>
            <w:proofErr w:type="gramStart"/>
            <w:r w:rsidR="0053286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53286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股</w:t>
            </w:r>
            <w:r w:rsidR="005C043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期貨</w:t>
            </w:r>
            <w:r w:rsidR="005C043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66491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597223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這時候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597223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標準指的是</w:t>
            </w:r>
            <w:r w:rsidR="008F25C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風險指標低於約定比率</w:t>
            </w:r>
            <w:r w:rsidR="00597223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且</w:t>
            </w:r>
            <w:r w:rsidR="008F25C9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權益數低於維持保證金</w:t>
            </w:r>
            <w:r w:rsidR="00597223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357844" w:rsidRPr="005826F6" w:rsidTr="001F4B00">
        <w:tc>
          <w:tcPr>
            <w:tcW w:w="1337" w:type="dxa"/>
            <w:vAlign w:val="center"/>
          </w:tcPr>
          <w:p w:rsidR="00357844" w:rsidRPr="005C7BF3" w:rsidRDefault="00A33DD7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357844" w:rsidRPr="005C7BF3" w:rsidRDefault="00357844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盤後交易時段帳戶</w:t>
            </w:r>
            <w:r w:rsidR="00A817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中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留</w:t>
            </w:r>
            <w:r w:rsidR="00A817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有</w:t>
            </w:r>
            <w:r w:rsidR="00A46A8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會被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A817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的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商品部位</w:t>
            </w:r>
            <w:r w:rsidR="00A817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A817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如：美國道瓊期貨</w:t>
            </w:r>
            <w:r w:rsidR="00A817B6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proofErr w:type="gramStart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達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proofErr w:type="gramEnd"/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標準時，期貨商</w:t>
            </w:r>
            <w:r w:rsidR="005A65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將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所有</w:t>
            </w:r>
            <w:r w:rsidR="005A65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盤後時段</w:t>
            </w:r>
            <w:r w:rsidR="00A46A8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會被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代沖銷</w:t>
            </w:r>
            <w:r w:rsidR="005A6575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的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商品</w:t>
            </w:r>
            <w:r w:rsidR="00D27ACA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全數沖銷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如：美國道瓊期貨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357844" w:rsidRPr="004C4D11" w:rsidTr="001F4B00">
        <w:tc>
          <w:tcPr>
            <w:tcW w:w="1337" w:type="dxa"/>
            <w:vAlign w:val="center"/>
          </w:tcPr>
          <w:p w:rsidR="00357844" w:rsidRPr="005C7BF3" w:rsidRDefault="0039382E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不會</w:t>
            </w:r>
          </w:p>
        </w:tc>
        <w:tc>
          <w:tcPr>
            <w:tcW w:w="9011" w:type="dxa"/>
          </w:tcPr>
          <w:p w:rsidR="00357844" w:rsidRPr="005C7BF3" w:rsidRDefault="008D7CE0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盤後不會被代沖銷商品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的留倉</w:t>
            </w:r>
            <w:r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部位</w:t>
            </w:r>
            <w:r w:rsidR="002B51BB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2B51BB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如：</w:t>
            </w:r>
            <w:proofErr w:type="gramStart"/>
            <w:r w:rsidR="002B51BB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</w:t>
            </w:r>
            <w:proofErr w:type="gramEnd"/>
            <w:r w:rsidR="002B51BB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股期貨</w:t>
            </w:r>
            <w:r w:rsidR="002B51BB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 w:rsidR="00311579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</w:t>
            </w:r>
            <w:r w:rsidR="00357844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盤後交易時段之</w:t>
            </w:r>
            <w:r w:rsidR="00537A0A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未實現</w:t>
            </w:r>
            <w:r w:rsidR="00357844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獲利或</w:t>
            </w:r>
            <w:r w:rsidR="00537A0A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未實現</w:t>
            </w:r>
            <w:r w:rsidR="00357844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損失，</w:t>
            </w:r>
            <w:r w:rsidR="0039382E"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會不會</w:t>
            </w:r>
            <w:r w:rsidR="00357844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改變風險指標值</w:t>
            </w:r>
            <w:r w:rsidR="00043943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。</w:t>
            </w:r>
            <w:r w:rsidR="00A46A8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7844" w:rsidRPr="004C4D11" w:rsidTr="001F4B00">
        <w:tc>
          <w:tcPr>
            <w:tcW w:w="1337" w:type="dxa"/>
            <w:vAlign w:val="center"/>
          </w:tcPr>
          <w:p w:rsidR="00357844" w:rsidRPr="005C7BF3" w:rsidRDefault="00A003C7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357844" w:rsidRPr="005C7BF3" w:rsidRDefault="00772477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盤</w:t>
            </w:r>
            <w:r w:rsidR="00F446D0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後只留有</w:t>
            </w:r>
            <w:r w:rsidR="00F446D0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不會被代沖銷商品部位</w:t>
            </w:r>
            <w:r w:rsidR="00F446D0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446D0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如：</w:t>
            </w:r>
            <w:proofErr w:type="gramStart"/>
            <w:r w:rsidR="00F446D0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</w:t>
            </w:r>
            <w:proofErr w:type="gramEnd"/>
            <w:r w:rsidR="00F446D0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股期貨</w:t>
            </w:r>
            <w:r w:rsidR="00F446D0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，新增部位</w:t>
            </w:r>
            <w:proofErr w:type="gramStart"/>
            <w:r w:rsidR="001B71DF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時</w:t>
            </w:r>
            <w:r w:rsidR="00A33DD7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會</w:t>
            </w:r>
            <w:r w:rsidR="0035784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使留倉</w:t>
            </w:r>
            <w:proofErr w:type="gramEnd"/>
            <w:r w:rsidR="0035784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部位所需原始保證金增加</w:t>
            </w:r>
            <w:r w:rsidR="00357844" w:rsidRPr="005C7BF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 w:rsidR="00357844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導致風險指標值下降</w:t>
            </w:r>
            <w:r w:rsidR="00AC5DE1"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355B1F" w:rsidRPr="004C4D11" w:rsidTr="001F4B00">
        <w:tc>
          <w:tcPr>
            <w:tcW w:w="1337" w:type="dxa"/>
            <w:vAlign w:val="center"/>
          </w:tcPr>
          <w:p w:rsidR="00355B1F" w:rsidRPr="005C7BF3" w:rsidRDefault="00355B1F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不會</w:t>
            </w:r>
          </w:p>
        </w:tc>
        <w:tc>
          <w:tcPr>
            <w:tcW w:w="9011" w:type="dxa"/>
          </w:tcPr>
          <w:p w:rsidR="00355B1F" w:rsidRPr="005C7BF3" w:rsidRDefault="00355B1F" w:rsidP="005C7BF3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盤後交易時段期貨商計算風險指標，遇不會被代沖銷商品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如：</w:t>
            </w:r>
            <w:proofErr w:type="gramStart"/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股期貨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之未平倉部位，不計算未沖銷期貨浮動損益，該部位於盤後交易時段之獲利或損失，會不會因此改變風險指標值。</w:t>
            </w:r>
          </w:p>
        </w:tc>
      </w:tr>
      <w:tr w:rsidR="00355B1F" w:rsidRPr="004C4D11" w:rsidTr="001F4B00">
        <w:tc>
          <w:tcPr>
            <w:tcW w:w="1337" w:type="dxa"/>
            <w:vAlign w:val="center"/>
          </w:tcPr>
          <w:p w:rsidR="00355B1F" w:rsidRPr="005C7BF3" w:rsidRDefault="00355B1F" w:rsidP="005C7BF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5C7BF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9011" w:type="dxa"/>
          </w:tcPr>
          <w:p w:rsidR="00355B1F" w:rsidRPr="005C7BF3" w:rsidRDefault="00355B1F" w:rsidP="005C7BF3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一般交易時段留有會代為沖銷商品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如：歐元兌美元期貨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，雖盤後交易時段未交易，但價格變化致交易人風險</w:t>
            </w:r>
            <w:proofErr w:type="gramStart"/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指標達代為</w:t>
            </w:r>
            <w:proofErr w:type="gramEnd"/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沖銷作業標準，期貨商仍將執行代為沖銷作業，交易人於各交易</w:t>
            </w:r>
            <w:proofErr w:type="gramStart"/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時段均須隨時</w:t>
            </w:r>
            <w:proofErr w:type="gramEnd"/>
            <w:r w:rsidRPr="005C7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注意權益數變化。</w:t>
            </w:r>
          </w:p>
        </w:tc>
      </w:tr>
    </w:tbl>
    <w:p w:rsidR="000F720A" w:rsidRDefault="000F720A" w:rsidP="000F7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exact"/>
        <w:rPr>
          <w:rFonts w:ascii="標楷體" w:eastAsia="標楷體" w:hAnsi="標楷體"/>
          <w:sz w:val="28"/>
          <w:szCs w:val="28"/>
        </w:rPr>
      </w:pPr>
    </w:p>
    <w:p w:rsidR="003E1B01" w:rsidRDefault="00E34ACE" w:rsidP="000F7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E34ACE">
        <w:rPr>
          <w:rFonts w:ascii="標楷體" w:eastAsia="標楷體" w:hAnsi="標楷體" w:hint="eastAsia"/>
          <w:sz w:val="28"/>
          <w:szCs w:val="28"/>
        </w:rPr>
        <w:t>交易帳號</w:t>
      </w:r>
      <w:r w:rsidR="003E1B01">
        <w:rPr>
          <w:rFonts w:ascii="標楷體" w:eastAsia="標楷體" w:hAnsi="標楷體" w:hint="eastAsia"/>
          <w:sz w:val="28"/>
          <w:szCs w:val="28"/>
        </w:rPr>
        <w:t>：</w:t>
      </w:r>
      <w:r w:rsidR="003E1B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 w:rsidR="003E1B01" w:rsidRPr="003E1B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4D11">
        <w:rPr>
          <w:rFonts w:ascii="標楷體" w:eastAsia="標楷體" w:hAnsi="標楷體" w:hint="eastAsia"/>
          <w:sz w:val="28"/>
          <w:szCs w:val="28"/>
        </w:rPr>
        <w:t>日期：</w:t>
      </w:r>
      <w:r w:rsidRPr="00E34AC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0F72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E63E22" w:rsidRPr="004C4D11" w:rsidRDefault="003E1B01" w:rsidP="000F7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</w:t>
      </w:r>
      <w:r w:rsidRPr="000F720A">
        <w:rPr>
          <w:rFonts w:ascii="Times New Roman" w:eastAsia="標楷體" w:hAnsi="Times New Roman" w:cs="Times New Roman"/>
          <w:sz w:val="28"/>
          <w:szCs w:val="28"/>
        </w:rPr>
        <w:t>名</w:t>
      </w:r>
      <w:r w:rsidR="000F720A" w:rsidRPr="000F720A">
        <w:rPr>
          <w:rFonts w:ascii="Times New Roman" w:eastAsia="標楷體" w:hAnsi="Times New Roman" w:cs="Times New Roman"/>
          <w:sz w:val="28"/>
          <w:szCs w:val="28"/>
        </w:rPr>
        <w:t>(</w:t>
      </w:r>
      <w:r w:rsidR="000F720A" w:rsidRPr="000F720A">
        <w:rPr>
          <w:rFonts w:ascii="Times New Roman" w:eastAsia="標楷體" w:hAnsi="Times New Roman" w:cs="Times New Roman"/>
          <w:sz w:val="28"/>
          <w:szCs w:val="28"/>
        </w:rPr>
        <w:t>公司名稱</w:t>
      </w:r>
      <w:r w:rsidR="000F720A" w:rsidRPr="000F720A">
        <w:rPr>
          <w:rFonts w:ascii="Times New Roman" w:eastAsia="標楷體" w:hAnsi="Times New Roman" w:cs="Times New Roman"/>
          <w:sz w:val="28"/>
          <w:szCs w:val="28"/>
        </w:rPr>
        <w:t>)</w:t>
      </w:r>
      <w:r w:rsidR="00E63E22" w:rsidRPr="000F720A">
        <w:rPr>
          <w:rFonts w:ascii="Times New Roman" w:eastAsia="標楷體" w:hAnsi="Times New Roman" w:cs="Times New Roman"/>
          <w:sz w:val="28"/>
          <w:szCs w:val="28"/>
        </w:rPr>
        <w:t>：</w:t>
      </w:r>
      <w:r w:rsidR="000F720A" w:rsidRPr="000F72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0F72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E34ACE" w:rsidRPr="00E34ACE">
        <w:rPr>
          <w:rFonts w:ascii="標楷體" w:eastAsia="標楷體" w:hAnsi="標楷體" w:hint="eastAsia"/>
          <w:sz w:val="28"/>
          <w:szCs w:val="28"/>
          <w:u w:val="single"/>
        </w:rPr>
        <w:t>(簽章)</w:t>
      </w:r>
      <w:r w:rsidR="00E63E22" w:rsidRPr="004C4D11">
        <w:rPr>
          <w:rFonts w:ascii="標楷體" w:eastAsia="標楷體" w:hAnsi="標楷體" w:hint="eastAsia"/>
          <w:sz w:val="28"/>
          <w:szCs w:val="28"/>
        </w:rPr>
        <w:t xml:space="preserve"> </w:t>
      </w:r>
      <w:r w:rsidR="00461DFE">
        <w:rPr>
          <w:rFonts w:ascii="標楷體" w:eastAsia="標楷體" w:hAnsi="標楷體" w:hint="eastAsia"/>
          <w:sz w:val="28"/>
          <w:szCs w:val="28"/>
        </w:rPr>
        <w:t xml:space="preserve"> </w:t>
      </w:r>
      <w:r w:rsidR="00E63E22" w:rsidRPr="004C4D11">
        <w:rPr>
          <w:rFonts w:ascii="標楷體" w:eastAsia="標楷體" w:hAnsi="標楷體" w:hint="eastAsia"/>
          <w:sz w:val="28"/>
          <w:szCs w:val="28"/>
        </w:rPr>
        <w:t>電話：</w:t>
      </w:r>
      <w:r w:rsidR="000F72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E63E22" w:rsidRPr="004C4D11" w:rsidRDefault="000F720A" w:rsidP="000F72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</w:t>
      </w:r>
      <w:r w:rsidR="003E1B01" w:rsidRPr="004C4D11">
        <w:rPr>
          <w:rFonts w:ascii="標楷體" w:eastAsia="標楷體" w:hAnsi="標楷體" w:hint="eastAsia"/>
          <w:sz w:val="28"/>
          <w:szCs w:val="28"/>
        </w:rPr>
        <w:t>：</w:t>
      </w:r>
      <w:r w:rsidR="003E1B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E1B01" w:rsidRPr="00E34AC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E1B01" w:rsidRPr="00E34ACE">
        <w:rPr>
          <w:rFonts w:ascii="標楷體" w:eastAsia="標楷體" w:hAnsi="標楷體" w:hint="eastAsia"/>
          <w:sz w:val="28"/>
          <w:szCs w:val="28"/>
          <w:u w:val="single"/>
        </w:rPr>
        <w:t xml:space="preserve"> (簽章)</w:t>
      </w:r>
    </w:p>
    <w:sectPr w:rsidR="00E63E22" w:rsidRPr="004C4D11" w:rsidSect="00461DFE">
      <w:footerReference w:type="default" r:id="rId8"/>
      <w:pgSz w:w="11906" w:h="16838"/>
      <w:pgMar w:top="993" w:right="707" w:bottom="142" w:left="1418" w:header="851" w:footer="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8" w:rsidRDefault="00DA52D8" w:rsidP="00FF48F0">
      <w:r>
        <w:separator/>
      </w:r>
    </w:p>
  </w:endnote>
  <w:endnote w:type="continuationSeparator" w:id="0">
    <w:p w:rsidR="00DA52D8" w:rsidRDefault="00DA52D8" w:rsidP="00FF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E" w:rsidRDefault="00461DFE">
    <w:pPr>
      <w:pStyle w:val="a5"/>
      <w:jc w:val="center"/>
    </w:pPr>
  </w:p>
  <w:p w:rsidR="00461DFE" w:rsidRDefault="00461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8" w:rsidRDefault="00DA52D8" w:rsidP="00FF48F0">
      <w:r>
        <w:separator/>
      </w:r>
    </w:p>
  </w:footnote>
  <w:footnote w:type="continuationSeparator" w:id="0">
    <w:p w:rsidR="00DA52D8" w:rsidRDefault="00DA52D8" w:rsidP="00FF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0E"/>
    <w:rsid w:val="0000435C"/>
    <w:rsid w:val="000069CC"/>
    <w:rsid w:val="000109B6"/>
    <w:rsid w:val="00020A42"/>
    <w:rsid w:val="00043943"/>
    <w:rsid w:val="00054DB8"/>
    <w:rsid w:val="00056AC5"/>
    <w:rsid w:val="000623C5"/>
    <w:rsid w:val="00064089"/>
    <w:rsid w:val="00071266"/>
    <w:rsid w:val="00092425"/>
    <w:rsid w:val="00094D75"/>
    <w:rsid w:val="000A442A"/>
    <w:rsid w:val="000A5A12"/>
    <w:rsid w:val="000C3ABB"/>
    <w:rsid w:val="000C45EB"/>
    <w:rsid w:val="000D7820"/>
    <w:rsid w:val="000F21DD"/>
    <w:rsid w:val="000F52FF"/>
    <w:rsid w:val="000F720A"/>
    <w:rsid w:val="00101133"/>
    <w:rsid w:val="001129F2"/>
    <w:rsid w:val="00133B6A"/>
    <w:rsid w:val="00141B70"/>
    <w:rsid w:val="0016377D"/>
    <w:rsid w:val="0017759F"/>
    <w:rsid w:val="00186573"/>
    <w:rsid w:val="00191E7B"/>
    <w:rsid w:val="001A198C"/>
    <w:rsid w:val="001B69CF"/>
    <w:rsid w:val="001B71DF"/>
    <w:rsid w:val="001C5498"/>
    <w:rsid w:val="001C6051"/>
    <w:rsid w:val="001F4A2F"/>
    <w:rsid w:val="001F4B00"/>
    <w:rsid w:val="00203D7D"/>
    <w:rsid w:val="00232A77"/>
    <w:rsid w:val="002429AC"/>
    <w:rsid w:val="00261CCE"/>
    <w:rsid w:val="00272C8F"/>
    <w:rsid w:val="00282A7C"/>
    <w:rsid w:val="002A0FEA"/>
    <w:rsid w:val="002A72BB"/>
    <w:rsid w:val="002B51BB"/>
    <w:rsid w:val="002D5879"/>
    <w:rsid w:val="002D6C0C"/>
    <w:rsid w:val="002E617F"/>
    <w:rsid w:val="002F15E1"/>
    <w:rsid w:val="00311579"/>
    <w:rsid w:val="00312A6D"/>
    <w:rsid w:val="00313068"/>
    <w:rsid w:val="00330748"/>
    <w:rsid w:val="00331073"/>
    <w:rsid w:val="00341C94"/>
    <w:rsid w:val="003467C5"/>
    <w:rsid w:val="00351A44"/>
    <w:rsid w:val="00354350"/>
    <w:rsid w:val="00354C02"/>
    <w:rsid w:val="00355B1F"/>
    <w:rsid w:val="00357844"/>
    <w:rsid w:val="0036271B"/>
    <w:rsid w:val="00367F0E"/>
    <w:rsid w:val="00373936"/>
    <w:rsid w:val="00381C66"/>
    <w:rsid w:val="003820CD"/>
    <w:rsid w:val="003822E6"/>
    <w:rsid w:val="0039382E"/>
    <w:rsid w:val="003952C3"/>
    <w:rsid w:val="003A7504"/>
    <w:rsid w:val="003B35F6"/>
    <w:rsid w:val="003B5979"/>
    <w:rsid w:val="003C1A81"/>
    <w:rsid w:val="003E1B01"/>
    <w:rsid w:val="003E7535"/>
    <w:rsid w:val="0040321D"/>
    <w:rsid w:val="00426D01"/>
    <w:rsid w:val="00443EF3"/>
    <w:rsid w:val="00457B8C"/>
    <w:rsid w:val="00461831"/>
    <w:rsid w:val="00461DFE"/>
    <w:rsid w:val="00477DD2"/>
    <w:rsid w:val="00494BBA"/>
    <w:rsid w:val="0049664F"/>
    <w:rsid w:val="004B03B1"/>
    <w:rsid w:val="004B2DB5"/>
    <w:rsid w:val="004B5E5C"/>
    <w:rsid w:val="004C0573"/>
    <w:rsid w:val="004C4D11"/>
    <w:rsid w:val="004D196A"/>
    <w:rsid w:val="004D245F"/>
    <w:rsid w:val="004D2F59"/>
    <w:rsid w:val="004D459F"/>
    <w:rsid w:val="004D4B8A"/>
    <w:rsid w:val="004D7391"/>
    <w:rsid w:val="004E2CF4"/>
    <w:rsid w:val="004E7E58"/>
    <w:rsid w:val="0050614E"/>
    <w:rsid w:val="00511BA3"/>
    <w:rsid w:val="005321C2"/>
    <w:rsid w:val="00532864"/>
    <w:rsid w:val="00537A0A"/>
    <w:rsid w:val="00537BB5"/>
    <w:rsid w:val="00540273"/>
    <w:rsid w:val="00540275"/>
    <w:rsid w:val="00541F9D"/>
    <w:rsid w:val="00563D7E"/>
    <w:rsid w:val="00565E22"/>
    <w:rsid w:val="00575B96"/>
    <w:rsid w:val="005826F6"/>
    <w:rsid w:val="00586AE5"/>
    <w:rsid w:val="00586BDC"/>
    <w:rsid w:val="00597223"/>
    <w:rsid w:val="005A3783"/>
    <w:rsid w:val="005A5BFB"/>
    <w:rsid w:val="005A6575"/>
    <w:rsid w:val="005C043A"/>
    <w:rsid w:val="005C4213"/>
    <w:rsid w:val="005C7BF3"/>
    <w:rsid w:val="005D2FE4"/>
    <w:rsid w:val="005D5988"/>
    <w:rsid w:val="005E296E"/>
    <w:rsid w:val="005E721E"/>
    <w:rsid w:val="005F50CD"/>
    <w:rsid w:val="0060596A"/>
    <w:rsid w:val="00606D9A"/>
    <w:rsid w:val="00615329"/>
    <w:rsid w:val="0062199E"/>
    <w:rsid w:val="0064776D"/>
    <w:rsid w:val="006507DA"/>
    <w:rsid w:val="006535A7"/>
    <w:rsid w:val="006555BF"/>
    <w:rsid w:val="0066491F"/>
    <w:rsid w:val="00677E35"/>
    <w:rsid w:val="006969F6"/>
    <w:rsid w:val="006A22EA"/>
    <w:rsid w:val="006B5563"/>
    <w:rsid w:val="006C2438"/>
    <w:rsid w:val="006C2E8A"/>
    <w:rsid w:val="006E2CB7"/>
    <w:rsid w:val="006E2FD0"/>
    <w:rsid w:val="006F4B87"/>
    <w:rsid w:val="006F72F0"/>
    <w:rsid w:val="0073169B"/>
    <w:rsid w:val="00740633"/>
    <w:rsid w:val="007450B4"/>
    <w:rsid w:val="00745904"/>
    <w:rsid w:val="0076314A"/>
    <w:rsid w:val="0076518A"/>
    <w:rsid w:val="00770644"/>
    <w:rsid w:val="00772477"/>
    <w:rsid w:val="00775C58"/>
    <w:rsid w:val="007811BF"/>
    <w:rsid w:val="00787947"/>
    <w:rsid w:val="00793193"/>
    <w:rsid w:val="0079388A"/>
    <w:rsid w:val="007A3F96"/>
    <w:rsid w:val="007A468C"/>
    <w:rsid w:val="007A5A06"/>
    <w:rsid w:val="007B2B15"/>
    <w:rsid w:val="007F12C0"/>
    <w:rsid w:val="008165D5"/>
    <w:rsid w:val="00826456"/>
    <w:rsid w:val="008571CB"/>
    <w:rsid w:val="008B2B28"/>
    <w:rsid w:val="008B2CB4"/>
    <w:rsid w:val="008B7628"/>
    <w:rsid w:val="008D10D3"/>
    <w:rsid w:val="008D7CE0"/>
    <w:rsid w:val="008E5C86"/>
    <w:rsid w:val="008E6A8E"/>
    <w:rsid w:val="008F1637"/>
    <w:rsid w:val="008F25C9"/>
    <w:rsid w:val="008F7BEB"/>
    <w:rsid w:val="00903B78"/>
    <w:rsid w:val="00904F8F"/>
    <w:rsid w:val="009068D2"/>
    <w:rsid w:val="0092433E"/>
    <w:rsid w:val="00925C2A"/>
    <w:rsid w:val="00936B66"/>
    <w:rsid w:val="00940F50"/>
    <w:rsid w:val="00941495"/>
    <w:rsid w:val="009508A6"/>
    <w:rsid w:val="00951101"/>
    <w:rsid w:val="00961D85"/>
    <w:rsid w:val="00975B3E"/>
    <w:rsid w:val="00995A25"/>
    <w:rsid w:val="009A6D8B"/>
    <w:rsid w:val="009B188D"/>
    <w:rsid w:val="009B5DC3"/>
    <w:rsid w:val="009C1497"/>
    <w:rsid w:val="009E0D0D"/>
    <w:rsid w:val="009E3600"/>
    <w:rsid w:val="009E7DE3"/>
    <w:rsid w:val="00A003C7"/>
    <w:rsid w:val="00A0671D"/>
    <w:rsid w:val="00A32E35"/>
    <w:rsid w:val="00A33DD7"/>
    <w:rsid w:val="00A46A87"/>
    <w:rsid w:val="00A5004A"/>
    <w:rsid w:val="00A50854"/>
    <w:rsid w:val="00A5351A"/>
    <w:rsid w:val="00A55405"/>
    <w:rsid w:val="00A55BA5"/>
    <w:rsid w:val="00A817B6"/>
    <w:rsid w:val="00A87D11"/>
    <w:rsid w:val="00AC1A05"/>
    <w:rsid w:val="00AC3F20"/>
    <w:rsid w:val="00AC5DE1"/>
    <w:rsid w:val="00AD0465"/>
    <w:rsid w:val="00AE5469"/>
    <w:rsid w:val="00AF228B"/>
    <w:rsid w:val="00B14D39"/>
    <w:rsid w:val="00B2721A"/>
    <w:rsid w:val="00B30787"/>
    <w:rsid w:val="00B40617"/>
    <w:rsid w:val="00B50A2D"/>
    <w:rsid w:val="00B54DCC"/>
    <w:rsid w:val="00B57F1F"/>
    <w:rsid w:val="00BB110F"/>
    <w:rsid w:val="00BB1932"/>
    <w:rsid w:val="00BC0234"/>
    <w:rsid w:val="00BE147C"/>
    <w:rsid w:val="00BF30FB"/>
    <w:rsid w:val="00BF63C6"/>
    <w:rsid w:val="00C018B5"/>
    <w:rsid w:val="00C02BC7"/>
    <w:rsid w:val="00C047D7"/>
    <w:rsid w:val="00C079C9"/>
    <w:rsid w:val="00C10869"/>
    <w:rsid w:val="00C14627"/>
    <w:rsid w:val="00C5488B"/>
    <w:rsid w:val="00C55B86"/>
    <w:rsid w:val="00C57BF5"/>
    <w:rsid w:val="00C605E7"/>
    <w:rsid w:val="00C67CBB"/>
    <w:rsid w:val="00C91BEF"/>
    <w:rsid w:val="00C97FFC"/>
    <w:rsid w:val="00CA36A2"/>
    <w:rsid w:val="00CA5E1B"/>
    <w:rsid w:val="00CC0EB9"/>
    <w:rsid w:val="00CC3D44"/>
    <w:rsid w:val="00CD0F57"/>
    <w:rsid w:val="00CE6B99"/>
    <w:rsid w:val="00D16D64"/>
    <w:rsid w:val="00D20788"/>
    <w:rsid w:val="00D22B6B"/>
    <w:rsid w:val="00D25FD9"/>
    <w:rsid w:val="00D27ACA"/>
    <w:rsid w:val="00D3438E"/>
    <w:rsid w:val="00D3671F"/>
    <w:rsid w:val="00D378D5"/>
    <w:rsid w:val="00D60E60"/>
    <w:rsid w:val="00D72DBD"/>
    <w:rsid w:val="00D76B45"/>
    <w:rsid w:val="00D83667"/>
    <w:rsid w:val="00D969E6"/>
    <w:rsid w:val="00DA52D8"/>
    <w:rsid w:val="00DC0DCF"/>
    <w:rsid w:val="00DC1875"/>
    <w:rsid w:val="00DD0823"/>
    <w:rsid w:val="00DD1452"/>
    <w:rsid w:val="00DE23B8"/>
    <w:rsid w:val="00DE3221"/>
    <w:rsid w:val="00DE6FF0"/>
    <w:rsid w:val="00E01134"/>
    <w:rsid w:val="00E0612A"/>
    <w:rsid w:val="00E06D8B"/>
    <w:rsid w:val="00E2147A"/>
    <w:rsid w:val="00E2493C"/>
    <w:rsid w:val="00E34ACE"/>
    <w:rsid w:val="00E41B7B"/>
    <w:rsid w:val="00E47389"/>
    <w:rsid w:val="00E61A22"/>
    <w:rsid w:val="00E63E22"/>
    <w:rsid w:val="00E65D0A"/>
    <w:rsid w:val="00E722AC"/>
    <w:rsid w:val="00E763F7"/>
    <w:rsid w:val="00E92629"/>
    <w:rsid w:val="00EA220E"/>
    <w:rsid w:val="00EA276C"/>
    <w:rsid w:val="00EB10B0"/>
    <w:rsid w:val="00EB4041"/>
    <w:rsid w:val="00EB465E"/>
    <w:rsid w:val="00EC6AF1"/>
    <w:rsid w:val="00EE1DA7"/>
    <w:rsid w:val="00EE7DB5"/>
    <w:rsid w:val="00EF05C7"/>
    <w:rsid w:val="00EF3C32"/>
    <w:rsid w:val="00EF3E7D"/>
    <w:rsid w:val="00EF3F7A"/>
    <w:rsid w:val="00F139E6"/>
    <w:rsid w:val="00F168D8"/>
    <w:rsid w:val="00F271D6"/>
    <w:rsid w:val="00F30E7F"/>
    <w:rsid w:val="00F446D0"/>
    <w:rsid w:val="00F470DA"/>
    <w:rsid w:val="00F6033F"/>
    <w:rsid w:val="00F74BB4"/>
    <w:rsid w:val="00F75726"/>
    <w:rsid w:val="00F8200A"/>
    <w:rsid w:val="00F836F6"/>
    <w:rsid w:val="00FC43CC"/>
    <w:rsid w:val="00FF0E3A"/>
    <w:rsid w:val="00FF36B4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8F0"/>
    <w:rPr>
      <w:sz w:val="20"/>
      <w:szCs w:val="20"/>
    </w:rPr>
  </w:style>
  <w:style w:type="table" w:styleId="a7">
    <w:name w:val="Table Grid"/>
    <w:basedOn w:val="a1"/>
    <w:uiPriority w:val="59"/>
    <w:rsid w:val="004D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7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71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8F0"/>
    <w:rPr>
      <w:sz w:val="20"/>
      <w:szCs w:val="20"/>
    </w:rPr>
  </w:style>
  <w:style w:type="table" w:styleId="a7">
    <w:name w:val="Table Grid"/>
    <w:basedOn w:val="a1"/>
    <w:uiPriority w:val="59"/>
    <w:rsid w:val="004D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7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7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49D9-ABB7-48CE-8A34-A0222B5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2017-04-18T09:16:00Z</cp:lastPrinted>
  <dcterms:created xsi:type="dcterms:W3CDTF">2017-04-18T09:30:00Z</dcterms:created>
  <dcterms:modified xsi:type="dcterms:W3CDTF">2017-04-18T09:30:00Z</dcterms:modified>
</cp:coreProperties>
</file>