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E5" w:rsidRPr="00335C7F" w:rsidRDefault="002135E5" w:rsidP="008404FE">
      <w:pPr>
        <w:rPr>
          <w:b/>
          <w:kern w:val="0"/>
          <w:sz w:val="32"/>
          <w:szCs w:val="32"/>
        </w:rPr>
      </w:pPr>
      <w:r w:rsidRPr="00335C7F">
        <w:rPr>
          <w:rFonts w:hint="eastAsia"/>
          <w:b/>
          <w:kern w:val="0"/>
          <w:sz w:val="32"/>
          <w:szCs w:val="32"/>
        </w:rPr>
        <w:t>動態價格穩定措施適用</w:t>
      </w:r>
      <w:proofErr w:type="gramStart"/>
      <w:r w:rsidRPr="00335C7F">
        <w:rPr>
          <w:rFonts w:hint="eastAsia"/>
          <w:b/>
          <w:kern w:val="0"/>
          <w:sz w:val="32"/>
          <w:szCs w:val="32"/>
        </w:rPr>
        <w:t>商品退單點數</w:t>
      </w:r>
      <w:proofErr w:type="gramEnd"/>
      <w:r w:rsidRPr="00335C7F">
        <w:rPr>
          <w:rFonts w:hint="eastAsia"/>
          <w:b/>
          <w:kern w:val="0"/>
          <w:sz w:val="32"/>
          <w:szCs w:val="32"/>
        </w:rPr>
        <w:t>基準值</w:t>
      </w:r>
      <w:proofErr w:type="gramStart"/>
      <w:r w:rsidRPr="00335C7F">
        <w:rPr>
          <w:rFonts w:hint="eastAsia"/>
          <w:b/>
          <w:kern w:val="0"/>
          <w:sz w:val="32"/>
          <w:szCs w:val="32"/>
        </w:rPr>
        <w:t>及退單百分比</w:t>
      </w:r>
      <w:proofErr w:type="gramEnd"/>
      <w:r w:rsidR="00305F1F" w:rsidRPr="00335C7F">
        <w:rPr>
          <w:rFonts w:hint="eastAsia"/>
          <w:b/>
          <w:kern w:val="0"/>
          <w:sz w:val="32"/>
          <w:szCs w:val="32"/>
        </w:rPr>
        <w:t>-</w:t>
      </w:r>
      <w:r w:rsidR="00AF6995" w:rsidRPr="00335C7F">
        <w:rPr>
          <w:rFonts w:hint="eastAsia"/>
          <w:b/>
          <w:kern w:val="0"/>
          <w:sz w:val="32"/>
          <w:szCs w:val="32"/>
        </w:rPr>
        <w:t>期貨</w:t>
      </w:r>
    </w:p>
    <w:tbl>
      <w:tblPr>
        <w:tblStyle w:val="afd"/>
        <w:tblW w:w="10485" w:type="dxa"/>
        <w:tblLook w:val="04A0" w:firstRow="1" w:lastRow="0" w:firstColumn="1" w:lastColumn="0" w:noHBand="0" w:noVBand="1"/>
      </w:tblPr>
      <w:tblGrid>
        <w:gridCol w:w="1326"/>
        <w:gridCol w:w="1930"/>
        <w:gridCol w:w="2268"/>
        <w:gridCol w:w="1984"/>
        <w:gridCol w:w="1676"/>
        <w:gridCol w:w="1301"/>
      </w:tblGrid>
      <w:tr w:rsidR="00335C7F" w:rsidRPr="00335C7F" w:rsidTr="00382A05">
        <w:trPr>
          <w:trHeight w:val="360"/>
          <w:tblHeader/>
        </w:trPr>
        <w:tc>
          <w:tcPr>
            <w:tcW w:w="0" w:type="auto"/>
          </w:tcPr>
          <w:p w:rsidR="00B21E35" w:rsidRPr="00335C7F" w:rsidRDefault="00B21E35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類別</w:t>
            </w:r>
          </w:p>
        </w:tc>
        <w:tc>
          <w:tcPr>
            <w:tcW w:w="1930" w:type="dxa"/>
          </w:tcPr>
          <w:p w:rsidR="00B21E35" w:rsidRPr="00335C7F" w:rsidRDefault="00B21E35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商品名稱</w:t>
            </w:r>
          </w:p>
        </w:tc>
        <w:tc>
          <w:tcPr>
            <w:tcW w:w="2268" w:type="dxa"/>
          </w:tcPr>
          <w:p w:rsidR="00B21E35" w:rsidRPr="00335C7F" w:rsidRDefault="00B21E35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到期月份</w:t>
            </w:r>
          </w:p>
        </w:tc>
        <w:tc>
          <w:tcPr>
            <w:tcW w:w="1984" w:type="dxa"/>
          </w:tcPr>
          <w:p w:rsidR="00B21E35" w:rsidRPr="00335C7F" w:rsidRDefault="00B21E35" w:rsidP="008404FE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退單點數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基準值</w:t>
            </w:r>
          </w:p>
        </w:tc>
        <w:tc>
          <w:tcPr>
            <w:tcW w:w="1676" w:type="dxa"/>
          </w:tcPr>
          <w:p w:rsidR="00B21E35" w:rsidRPr="00335C7F" w:rsidRDefault="00B21E35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單式買賣</w:t>
            </w:r>
            <w:proofErr w:type="gramStart"/>
            <w:r w:rsidRPr="00335C7F">
              <w:rPr>
                <w:rFonts w:hint="eastAsia"/>
                <w:kern w:val="0"/>
                <w:szCs w:val="24"/>
              </w:rPr>
              <w:t>申報退單百分比</w:t>
            </w:r>
            <w:proofErr w:type="gramEnd"/>
          </w:p>
        </w:tc>
        <w:tc>
          <w:tcPr>
            <w:tcW w:w="1301" w:type="dxa"/>
          </w:tcPr>
          <w:p w:rsidR="00B21E35" w:rsidRPr="00335C7F" w:rsidRDefault="00B21E35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組合式買賣</w:t>
            </w:r>
            <w:proofErr w:type="gramStart"/>
            <w:r w:rsidRPr="00335C7F">
              <w:rPr>
                <w:rFonts w:hint="eastAsia"/>
                <w:kern w:val="0"/>
                <w:szCs w:val="24"/>
              </w:rPr>
              <w:t>申報退單百分比</w:t>
            </w:r>
            <w:proofErr w:type="gramEnd"/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 w:val="restart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國內股價指數期貨</w:t>
            </w:r>
          </w:p>
        </w:tc>
        <w:tc>
          <w:tcPr>
            <w:tcW w:w="1930" w:type="dxa"/>
            <w:vMerge w:val="restart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股期貨</w:t>
            </w:r>
          </w:p>
        </w:tc>
        <w:tc>
          <w:tcPr>
            <w:tcW w:w="2268" w:type="dxa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最近月、</w:t>
            </w:r>
            <w:proofErr w:type="gramStart"/>
            <w:r w:rsidRPr="00335C7F">
              <w:rPr>
                <w:rFonts w:hint="eastAsia"/>
                <w:kern w:val="0"/>
                <w:szCs w:val="24"/>
              </w:rPr>
              <w:t>次近月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契約</w:t>
            </w:r>
          </w:p>
        </w:tc>
        <w:tc>
          <w:tcPr>
            <w:tcW w:w="1984" w:type="dxa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  <w:tc>
          <w:tcPr>
            <w:tcW w:w="1301" w:type="dxa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  <w:vMerge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</w:p>
        </w:tc>
        <w:tc>
          <w:tcPr>
            <w:tcW w:w="2268" w:type="dxa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第</w:t>
            </w:r>
            <w:r w:rsidRPr="00335C7F">
              <w:rPr>
                <w:rFonts w:hint="eastAsia"/>
                <w:kern w:val="0"/>
                <w:szCs w:val="24"/>
              </w:rPr>
              <w:t>3</w:t>
            </w:r>
            <w:r w:rsidRPr="00335C7F">
              <w:rPr>
                <w:rFonts w:hint="eastAsia"/>
                <w:kern w:val="0"/>
                <w:szCs w:val="24"/>
              </w:rPr>
              <w:t>近月、</w:t>
            </w:r>
            <w:r w:rsidRPr="00335C7F">
              <w:rPr>
                <w:rFonts w:hint="eastAsia"/>
                <w:szCs w:val="24"/>
              </w:rPr>
              <w:t>第</w:t>
            </w:r>
            <w:r w:rsidRPr="00335C7F">
              <w:rPr>
                <w:rFonts w:hint="eastAsia"/>
                <w:szCs w:val="24"/>
              </w:rPr>
              <w:t>1</w:t>
            </w:r>
            <w:r w:rsidRPr="00335C7F">
              <w:rPr>
                <w:rFonts w:hint="eastAsia"/>
                <w:szCs w:val="24"/>
              </w:rPr>
              <w:t>季月、第</w:t>
            </w:r>
            <w:r w:rsidRPr="00335C7F">
              <w:rPr>
                <w:rFonts w:hint="eastAsia"/>
                <w:szCs w:val="24"/>
              </w:rPr>
              <w:t>2</w:t>
            </w:r>
            <w:r w:rsidRPr="00335C7F">
              <w:rPr>
                <w:rFonts w:hint="eastAsia"/>
                <w:szCs w:val="24"/>
              </w:rPr>
              <w:t>季月、第</w:t>
            </w:r>
            <w:r w:rsidRPr="00335C7F">
              <w:rPr>
                <w:rFonts w:hint="eastAsia"/>
                <w:szCs w:val="24"/>
              </w:rPr>
              <w:t>3</w:t>
            </w:r>
            <w:r w:rsidRPr="00335C7F">
              <w:rPr>
                <w:rFonts w:hint="eastAsia"/>
                <w:szCs w:val="24"/>
              </w:rPr>
              <w:t>季月契約</w:t>
            </w:r>
          </w:p>
        </w:tc>
        <w:tc>
          <w:tcPr>
            <w:tcW w:w="1984" w:type="dxa"/>
          </w:tcPr>
          <w:p w:rsidR="00305F1F" w:rsidRPr="00335C7F" w:rsidRDefault="00305F1F" w:rsidP="008404FE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8404FE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小型</w:t>
            </w:r>
            <w:proofErr w:type="gramStart"/>
            <w:r w:rsidRPr="00335C7F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指期貨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最近月、</w:t>
            </w:r>
            <w:proofErr w:type="gramStart"/>
            <w:r w:rsidRPr="00335C7F">
              <w:rPr>
                <w:rFonts w:hint="eastAsia"/>
                <w:kern w:val="0"/>
                <w:szCs w:val="24"/>
              </w:rPr>
              <w:t>次近月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契約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週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到期、第</w:t>
            </w:r>
            <w:r w:rsidRPr="00335C7F">
              <w:rPr>
                <w:rFonts w:hint="eastAsia"/>
                <w:kern w:val="0"/>
                <w:szCs w:val="24"/>
              </w:rPr>
              <w:t>3</w:t>
            </w:r>
            <w:r w:rsidRPr="00335C7F">
              <w:rPr>
                <w:rFonts w:hint="eastAsia"/>
                <w:kern w:val="0"/>
                <w:szCs w:val="24"/>
              </w:rPr>
              <w:t>近月、</w:t>
            </w:r>
            <w:r w:rsidRPr="00335C7F">
              <w:rPr>
                <w:rFonts w:hint="eastAsia"/>
                <w:szCs w:val="24"/>
              </w:rPr>
              <w:t>第</w:t>
            </w:r>
            <w:r w:rsidRPr="00335C7F">
              <w:rPr>
                <w:rFonts w:hint="eastAsia"/>
                <w:szCs w:val="24"/>
              </w:rPr>
              <w:t>1</w:t>
            </w:r>
            <w:r w:rsidRPr="00335C7F">
              <w:rPr>
                <w:rFonts w:hint="eastAsia"/>
                <w:szCs w:val="24"/>
              </w:rPr>
              <w:t>季月、第</w:t>
            </w:r>
            <w:r w:rsidRPr="00335C7F">
              <w:rPr>
                <w:rFonts w:hint="eastAsia"/>
                <w:szCs w:val="24"/>
              </w:rPr>
              <w:t>2</w:t>
            </w:r>
            <w:r w:rsidRPr="00335C7F">
              <w:rPr>
                <w:rFonts w:hint="eastAsia"/>
                <w:szCs w:val="24"/>
              </w:rPr>
              <w:t>季月、第</w:t>
            </w:r>
            <w:r w:rsidRPr="00335C7F">
              <w:rPr>
                <w:rFonts w:hint="eastAsia"/>
                <w:szCs w:val="24"/>
              </w:rPr>
              <w:t>3</w:t>
            </w:r>
            <w:r w:rsidRPr="00335C7F">
              <w:rPr>
                <w:rFonts w:hint="eastAsia"/>
                <w:szCs w:val="24"/>
              </w:rPr>
              <w:t>季月契約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電子期貨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金融期貨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非金電期貨</w:t>
            </w:r>
            <w:proofErr w:type="gramEnd"/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臺灣</w:t>
            </w:r>
            <w:r w:rsidRPr="00335C7F">
              <w:rPr>
                <w:rFonts w:hint="eastAsia"/>
                <w:kern w:val="0"/>
                <w:szCs w:val="24"/>
              </w:rPr>
              <w:t>50</w:t>
            </w:r>
            <w:r w:rsidRPr="00335C7F">
              <w:rPr>
                <w:rFonts w:hint="eastAsia"/>
                <w:kern w:val="0"/>
                <w:szCs w:val="24"/>
              </w:rPr>
              <w:t>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櫃買期貨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富櫃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200</w:t>
            </w:r>
            <w:r w:rsidRPr="00335C7F">
              <w:rPr>
                <w:rFonts w:hint="eastAsia"/>
                <w:kern w:val="0"/>
                <w:szCs w:val="24"/>
              </w:rPr>
              <w:t>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臺灣永續期貨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臺灣生技期貨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1.5%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 w:val="restart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國外股價指數</w:t>
            </w:r>
          </w:p>
        </w:tc>
        <w:tc>
          <w:tcPr>
            <w:tcW w:w="1930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美國道瓊期貨</w:t>
            </w:r>
          </w:p>
        </w:tc>
        <w:tc>
          <w:tcPr>
            <w:tcW w:w="2268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B21E35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B21E35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美國標普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500</w:t>
            </w:r>
            <w:r w:rsidRPr="00335C7F">
              <w:rPr>
                <w:rFonts w:hint="eastAsia"/>
                <w:kern w:val="0"/>
                <w:szCs w:val="24"/>
              </w:rPr>
              <w:t>期貨</w:t>
            </w:r>
          </w:p>
        </w:tc>
        <w:tc>
          <w:tcPr>
            <w:tcW w:w="2268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05F1F" w:rsidRPr="00335C7F" w:rsidRDefault="00305F1F" w:rsidP="00305F1F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335C7F" w:rsidRPr="00335C7F" w:rsidTr="00382A05">
        <w:trPr>
          <w:trHeight w:val="615"/>
        </w:trPr>
        <w:tc>
          <w:tcPr>
            <w:tcW w:w="0" w:type="auto"/>
            <w:vMerge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美國那斯達克</w:t>
            </w:r>
            <w:r w:rsidRPr="00335C7F">
              <w:rPr>
                <w:rFonts w:hint="eastAsia"/>
                <w:kern w:val="0"/>
                <w:szCs w:val="24"/>
              </w:rPr>
              <w:t>100</w:t>
            </w:r>
            <w:r w:rsidRPr="00335C7F">
              <w:rPr>
                <w:rFonts w:hint="eastAsia"/>
                <w:kern w:val="0"/>
                <w:szCs w:val="24"/>
              </w:rPr>
              <w:t>期貨</w:t>
            </w:r>
          </w:p>
        </w:tc>
        <w:tc>
          <w:tcPr>
            <w:tcW w:w="2268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305F1F" w:rsidRPr="00335C7F" w:rsidRDefault="00305F1F" w:rsidP="00305F1F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305F1F" w:rsidRPr="00335C7F" w:rsidRDefault="00305F1F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0F429F" w:rsidRDefault="00AD12F6" w:rsidP="00AD12F6">
            <w:pPr>
              <w:rPr>
                <w:kern w:val="0"/>
                <w:szCs w:val="24"/>
                <w:u w:val="single"/>
              </w:rPr>
            </w:pPr>
            <w:proofErr w:type="gramStart"/>
            <w:r w:rsidRPr="000F429F">
              <w:rPr>
                <w:rFonts w:hint="eastAsia"/>
                <w:kern w:val="0"/>
                <w:szCs w:val="24"/>
                <w:u w:val="single"/>
              </w:rPr>
              <w:t>英國富時</w:t>
            </w:r>
            <w:proofErr w:type="gramEnd"/>
            <w:r w:rsidRPr="000F429F">
              <w:rPr>
                <w:rFonts w:hint="eastAsia"/>
                <w:kern w:val="0"/>
                <w:szCs w:val="24"/>
                <w:u w:val="single"/>
              </w:rPr>
              <w:t>100</w:t>
            </w:r>
            <w:r w:rsidRPr="000F429F">
              <w:rPr>
                <w:rFonts w:hint="eastAsia"/>
                <w:kern w:val="0"/>
                <w:szCs w:val="24"/>
                <w:u w:val="single"/>
              </w:rPr>
              <w:t>期貨</w:t>
            </w:r>
          </w:p>
        </w:tc>
        <w:tc>
          <w:tcPr>
            <w:tcW w:w="2268" w:type="dxa"/>
          </w:tcPr>
          <w:p w:rsidR="00AD12F6" w:rsidRPr="000F429F" w:rsidRDefault="00AD12F6" w:rsidP="00AD12F6">
            <w:pPr>
              <w:rPr>
                <w:kern w:val="0"/>
                <w:szCs w:val="24"/>
                <w:u w:val="single"/>
              </w:rPr>
            </w:pPr>
            <w:r w:rsidRPr="000F429F">
              <w:rPr>
                <w:rFonts w:hint="eastAsia"/>
                <w:kern w:val="0"/>
                <w:szCs w:val="24"/>
                <w:u w:val="single"/>
              </w:rPr>
              <w:t>所有到期月份</w:t>
            </w:r>
          </w:p>
        </w:tc>
        <w:tc>
          <w:tcPr>
            <w:tcW w:w="1984" w:type="dxa"/>
          </w:tcPr>
          <w:p w:rsidR="00AD12F6" w:rsidRPr="000F429F" w:rsidRDefault="00AD12F6" w:rsidP="00AD12F6">
            <w:pPr>
              <w:rPr>
                <w:szCs w:val="24"/>
                <w:u w:val="single"/>
              </w:rPr>
            </w:pPr>
            <w:r w:rsidRPr="000F429F">
              <w:rPr>
                <w:rFonts w:hint="eastAsia"/>
                <w:szCs w:val="24"/>
                <w:u w:val="single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0F429F" w:rsidRDefault="00AD12F6" w:rsidP="00AD12F6">
            <w:pPr>
              <w:rPr>
                <w:kern w:val="0"/>
                <w:szCs w:val="24"/>
                <w:u w:val="single"/>
              </w:rPr>
            </w:pPr>
            <w:r w:rsidRPr="000F429F">
              <w:rPr>
                <w:rFonts w:hint="eastAsia"/>
                <w:kern w:val="0"/>
                <w:szCs w:val="24"/>
                <w:u w:val="single"/>
              </w:rPr>
              <w:t>2%</w:t>
            </w:r>
          </w:p>
        </w:tc>
        <w:tc>
          <w:tcPr>
            <w:tcW w:w="1301" w:type="dxa"/>
          </w:tcPr>
          <w:p w:rsidR="00AD12F6" w:rsidRPr="000F429F" w:rsidRDefault="00AD12F6" w:rsidP="00AD12F6">
            <w:pPr>
              <w:rPr>
                <w:kern w:val="0"/>
                <w:szCs w:val="24"/>
                <w:u w:val="single"/>
              </w:rPr>
            </w:pPr>
            <w:r w:rsidRPr="000F429F">
              <w:rPr>
                <w:rFonts w:hint="eastAsia"/>
                <w:kern w:val="0"/>
                <w:szCs w:val="24"/>
                <w:u w:val="single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東證期貨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 w:val="restart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ETF</w:t>
            </w:r>
            <w:r w:rsidRPr="00335C7F">
              <w:rPr>
                <w:rFonts w:hint="eastAsia"/>
                <w:kern w:val="0"/>
                <w:szCs w:val="24"/>
              </w:rPr>
              <w:t>期貨</w:t>
            </w: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szCs w:val="24"/>
              </w:rPr>
              <w:t>元大台灣</w:t>
            </w:r>
            <w:r w:rsidRPr="00335C7F">
              <w:rPr>
                <w:rFonts w:hint="eastAsia"/>
                <w:szCs w:val="24"/>
              </w:rPr>
              <w:t>50ETF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元大高股息</w:t>
            </w:r>
            <w:r w:rsidRPr="00335C7F">
              <w:rPr>
                <w:rFonts w:hint="eastAsia"/>
                <w:szCs w:val="24"/>
              </w:rPr>
              <w:t>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proofErr w:type="gramStart"/>
            <w:r w:rsidRPr="00335C7F">
              <w:rPr>
                <w:rFonts w:hint="eastAsia"/>
                <w:szCs w:val="24"/>
              </w:rPr>
              <w:t>元大寶滬深</w:t>
            </w:r>
            <w:proofErr w:type="gramEnd"/>
            <w:r w:rsidRPr="00335C7F">
              <w:rPr>
                <w:szCs w:val="24"/>
              </w:rPr>
              <w:t>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富邦上</w:t>
            </w:r>
            <w:proofErr w:type="gramStart"/>
            <w:r w:rsidRPr="00335C7F">
              <w:rPr>
                <w:rFonts w:hint="eastAsia"/>
                <w:szCs w:val="24"/>
              </w:rPr>
              <w:t>証</w:t>
            </w:r>
            <w:proofErr w:type="gramEnd"/>
            <w:r w:rsidRPr="00335C7F">
              <w:rPr>
                <w:szCs w:val="24"/>
              </w:rPr>
              <w:t>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元大上證</w:t>
            </w:r>
            <w:r w:rsidRPr="00335C7F">
              <w:rPr>
                <w:szCs w:val="24"/>
              </w:rPr>
              <w:t>50ETF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FH</w:t>
            </w:r>
            <w:r w:rsidRPr="00335C7F">
              <w:rPr>
                <w:rFonts w:hint="eastAsia"/>
                <w:szCs w:val="24"/>
              </w:rPr>
              <w:t>滬深</w:t>
            </w:r>
            <w:r w:rsidRPr="00335C7F">
              <w:rPr>
                <w:szCs w:val="24"/>
              </w:rPr>
              <w:t>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國泰中國</w:t>
            </w:r>
            <w:r w:rsidRPr="00335C7F">
              <w:rPr>
                <w:szCs w:val="24"/>
              </w:rPr>
              <w:t>A50ETF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富邦深</w:t>
            </w:r>
            <w:r w:rsidRPr="00335C7F">
              <w:rPr>
                <w:szCs w:val="24"/>
              </w:rPr>
              <w:t>100ETF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群益深</w:t>
            </w:r>
            <w:proofErr w:type="gramStart"/>
            <w:r w:rsidRPr="00335C7F">
              <w:rPr>
                <w:rFonts w:hint="eastAsia"/>
                <w:szCs w:val="24"/>
              </w:rPr>
              <w:t>証</w:t>
            </w:r>
            <w:proofErr w:type="gramEnd"/>
            <w:r w:rsidRPr="00335C7F">
              <w:rPr>
                <w:rFonts w:hint="eastAsia"/>
                <w:szCs w:val="24"/>
              </w:rPr>
              <w:t>中小</w:t>
            </w:r>
            <w:r w:rsidRPr="00335C7F">
              <w:rPr>
                <w:szCs w:val="24"/>
              </w:rPr>
              <w:t>ETF</w:t>
            </w:r>
            <w:r w:rsidRPr="00335C7F">
              <w:rPr>
                <w:rFonts w:hint="eastAsia"/>
                <w:szCs w:val="24"/>
              </w:rPr>
              <w:t>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szCs w:val="24"/>
              </w:rPr>
              <w:t>期貨最近</w:t>
            </w:r>
            <w:r w:rsidRPr="00335C7F">
              <w:rPr>
                <w:rFonts w:hint="eastAsia"/>
                <w:szCs w:val="24"/>
              </w:rPr>
              <w:t>月</w:t>
            </w:r>
            <w:r w:rsidRPr="00335C7F">
              <w:rPr>
                <w:szCs w:val="24"/>
              </w:rPr>
              <w:t>契約</w:t>
            </w:r>
            <w:r w:rsidRPr="00335C7F">
              <w:rPr>
                <w:rFonts w:hint="eastAsia"/>
                <w:szCs w:val="24"/>
              </w:rPr>
              <w:t>開盤參考價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3.5%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 w:val="restart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匯率期貨</w:t>
            </w: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小型美元兌人民幣期貨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szCs w:val="24"/>
                <w:shd w:val="clear" w:color="auto" w:fill="FFFFFF"/>
              </w:rPr>
              <w:t>美元兌人民幣期貨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  <w:shd w:val="clear" w:color="auto" w:fill="FFFFFF"/>
              </w:rPr>
            </w:pPr>
            <w:r w:rsidRPr="00335C7F">
              <w:rPr>
                <w:szCs w:val="24"/>
                <w:shd w:val="clear" w:color="auto" w:fill="FFFFFF"/>
              </w:rPr>
              <w:t>歐元兌美元期貨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  <w:shd w:val="clear" w:color="auto" w:fill="FFFFFF"/>
              </w:rPr>
            </w:pPr>
            <w:r w:rsidRPr="00335C7F">
              <w:rPr>
                <w:szCs w:val="24"/>
                <w:shd w:val="clear" w:color="auto" w:fill="FFFFFF"/>
              </w:rPr>
              <w:t>美元兌日圓期貨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  <w:shd w:val="clear" w:color="auto" w:fill="FFFFFF"/>
              </w:rPr>
            </w:pPr>
            <w:r w:rsidRPr="00335C7F">
              <w:rPr>
                <w:szCs w:val="24"/>
                <w:shd w:val="clear" w:color="auto" w:fill="FFFFFF"/>
              </w:rPr>
              <w:t>英鎊兌美元期貨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  <w:tr w:rsidR="00AD12F6" w:rsidRPr="00335C7F" w:rsidTr="00382A05">
        <w:trPr>
          <w:trHeight w:val="615"/>
        </w:trPr>
        <w:tc>
          <w:tcPr>
            <w:tcW w:w="0" w:type="auto"/>
            <w:vMerge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</w:p>
        </w:tc>
        <w:tc>
          <w:tcPr>
            <w:tcW w:w="1930" w:type="dxa"/>
          </w:tcPr>
          <w:p w:rsidR="00AD12F6" w:rsidRPr="00335C7F" w:rsidRDefault="00AD12F6" w:rsidP="00AD12F6">
            <w:pPr>
              <w:rPr>
                <w:szCs w:val="24"/>
                <w:shd w:val="clear" w:color="auto" w:fill="FFFFFF"/>
              </w:rPr>
            </w:pPr>
            <w:r w:rsidRPr="00335C7F">
              <w:rPr>
                <w:szCs w:val="24"/>
                <w:shd w:val="clear" w:color="auto" w:fill="FFFFFF"/>
              </w:rPr>
              <w:t>澳幣兌美元期貨</w:t>
            </w:r>
          </w:p>
        </w:tc>
        <w:tc>
          <w:tcPr>
            <w:tcW w:w="2268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所有到期月份</w:t>
            </w:r>
          </w:p>
        </w:tc>
        <w:tc>
          <w:tcPr>
            <w:tcW w:w="1984" w:type="dxa"/>
          </w:tcPr>
          <w:p w:rsidR="00AD12F6" w:rsidRPr="00335C7F" w:rsidRDefault="00AD12F6" w:rsidP="00AD12F6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期貨最近到期契約最近之每日結算價</w:t>
            </w:r>
          </w:p>
        </w:tc>
        <w:tc>
          <w:tcPr>
            <w:tcW w:w="1676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2%</w:t>
            </w:r>
          </w:p>
        </w:tc>
        <w:tc>
          <w:tcPr>
            <w:tcW w:w="1301" w:type="dxa"/>
          </w:tcPr>
          <w:p w:rsidR="00AD12F6" w:rsidRPr="00335C7F" w:rsidRDefault="00AD12F6" w:rsidP="00AD12F6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1%</w:t>
            </w:r>
          </w:p>
        </w:tc>
      </w:tr>
    </w:tbl>
    <w:p w:rsidR="00305F1F" w:rsidRPr="00335C7F" w:rsidRDefault="00305F1F" w:rsidP="008404FE">
      <w:pPr>
        <w:rPr>
          <w:b/>
          <w:kern w:val="0"/>
          <w:sz w:val="32"/>
          <w:szCs w:val="32"/>
        </w:rPr>
        <w:sectPr w:rsidR="00305F1F" w:rsidRPr="00335C7F" w:rsidSect="00CA5229">
          <w:headerReference w:type="even" r:id="rId8"/>
          <w:footerReference w:type="even" r:id="rId9"/>
          <w:footerReference w:type="default" r:id="rId10"/>
          <w:pgSz w:w="11907" w:h="16840"/>
          <w:pgMar w:top="720" w:right="720" w:bottom="720" w:left="720" w:header="272" w:footer="590" w:gutter="0"/>
          <w:cols w:space="425"/>
          <w:docGrid w:type="lines" w:linePitch="540"/>
        </w:sectPr>
      </w:pPr>
    </w:p>
    <w:p w:rsidR="00305F1F" w:rsidRPr="00335C7F" w:rsidRDefault="00305F1F" w:rsidP="00305F1F">
      <w:pPr>
        <w:rPr>
          <w:b/>
          <w:kern w:val="0"/>
          <w:sz w:val="32"/>
          <w:szCs w:val="32"/>
        </w:rPr>
      </w:pPr>
      <w:r w:rsidRPr="00335C7F">
        <w:rPr>
          <w:rFonts w:hint="eastAsia"/>
          <w:b/>
          <w:kern w:val="0"/>
          <w:sz w:val="32"/>
          <w:szCs w:val="32"/>
        </w:rPr>
        <w:t>動態價格穩定措施適用</w:t>
      </w:r>
      <w:proofErr w:type="gramStart"/>
      <w:r w:rsidRPr="00335C7F">
        <w:rPr>
          <w:rFonts w:hint="eastAsia"/>
          <w:b/>
          <w:kern w:val="0"/>
          <w:sz w:val="32"/>
          <w:szCs w:val="32"/>
        </w:rPr>
        <w:t>商品退單點數</w:t>
      </w:r>
      <w:proofErr w:type="gramEnd"/>
      <w:r w:rsidRPr="00335C7F">
        <w:rPr>
          <w:rFonts w:hint="eastAsia"/>
          <w:b/>
          <w:kern w:val="0"/>
          <w:sz w:val="32"/>
          <w:szCs w:val="32"/>
        </w:rPr>
        <w:t>基準值</w:t>
      </w:r>
      <w:proofErr w:type="gramStart"/>
      <w:r w:rsidRPr="00335C7F">
        <w:rPr>
          <w:rFonts w:hint="eastAsia"/>
          <w:b/>
          <w:kern w:val="0"/>
          <w:sz w:val="32"/>
          <w:szCs w:val="32"/>
        </w:rPr>
        <w:t>及退單百分比</w:t>
      </w:r>
      <w:proofErr w:type="gramEnd"/>
      <w:r w:rsidRPr="00335C7F">
        <w:rPr>
          <w:rFonts w:hint="eastAsia"/>
          <w:b/>
          <w:kern w:val="0"/>
          <w:sz w:val="32"/>
          <w:szCs w:val="32"/>
        </w:rPr>
        <w:t>-</w:t>
      </w:r>
      <w:r w:rsidR="00AF6995" w:rsidRPr="00335C7F">
        <w:rPr>
          <w:rFonts w:hint="eastAsia"/>
          <w:b/>
          <w:kern w:val="0"/>
          <w:sz w:val="32"/>
          <w:szCs w:val="32"/>
        </w:rPr>
        <w:t>選擇權</w:t>
      </w:r>
    </w:p>
    <w:tbl>
      <w:tblPr>
        <w:tblStyle w:val="afd"/>
        <w:tblW w:w="10247" w:type="dxa"/>
        <w:tblLook w:val="04A0" w:firstRow="1" w:lastRow="0" w:firstColumn="1" w:lastColumn="0" w:noHBand="0" w:noVBand="1"/>
      </w:tblPr>
      <w:tblGrid>
        <w:gridCol w:w="1479"/>
        <w:gridCol w:w="2154"/>
        <w:gridCol w:w="1749"/>
        <w:gridCol w:w="2410"/>
        <w:gridCol w:w="2455"/>
      </w:tblGrid>
      <w:tr w:rsidR="00335C7F" w:rsidRPr="00335C7F" w:rsidTr="004224E8">
        <w:trPr>
          <w:trHeight w:val="172"/>
          <w:tblHeader/>
        </w:trPr>
        <w:tc>
          <w:tcPr>
            <w:tcW w:w="0" w:type="auto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類別</w:t>
            </w:r>
          </w:p>
        </w:tc>
        <w:tc>
          <w:tcPr>
            <w:tcW w:w="2154" w:type="dxa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商品名稱</w:t>
            </w:r>
          </w:p>
        </w:tc>
        <w:tc>
          <w:tcPr>
            <w:tcW w:w="1749" w:type="dxa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到期月份</w:t>
            </w:r>
          </w:p>
        </w:tc>
        <w:tc>
          <w:tcPr>
            <w:tcW w:w="2410" w:type="dxa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退單點數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基準值</w:t>
            </w:r>
          </w:p>
        </w:tc>
        <w:tc>
          <w:tcPr>
            <w:tcW w:w="2455" w:type="dxa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單式買賣</w:t>
            </w:r>
            <w:proofErr w:type="gramStart"/>
            <w:r w:rsidRPr="00335C7F">
              <w:rPr>
                <w:rFonts w:hint="eastAsia"/>
                <w:kern w:val="0"/>
                <w:szCs w:val="24"/>
              </w:rPr>
              <w:t>申報退單百分比</w:t>
            </w:r>
            <w:proofErr w:type="gramEnd"/>
          </w:p>
        </w:tc>
      </w:tr>
      <w:tr w:rsidR="00335C7F" w:rsidRPr="00335C7F" w:rsidTr="004224E8">
        <w:trPr>
          <w:trHeight w:val="295"/>
        </w:trPr>
        <w:tc>
          <w:tcPr>
            <w:tcW w:w="0" w:type="auto"/>
            <w:vMerge w:val="restart"/>
          </w:tcPr>
          <w:p w:rsidR="004224E8" w:rsidRPr="00335C7F" w:rsidRDefault="004224E8" w:rsidP="004224E8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kern w:val="0"/>
                <w:szCs w:val="24"/>
              </w:rPr>
              <w:t>國內股價指數選擇權</w:t>
            </w:r>
          </w:p>
        </w:tc>
        <w:tc>
          <w:tcPr>
            <w:tcW w:w="2154" w:type="dxa"/>
            <w:vMerge w:val="restart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hint="eastAsia"/>
                <w:kern w:val="0"/>
                <w:szCs w:val="24"/>
              </w:rPr>
              <w:t>臺</w:t>
            </w:r>
            <w:proofErr w:type="gramEnd"/>
            <w:r w:rsidRPr="00335C7F">
              <w:rPr>
                <w:rFonts w:hint="eastAsia"/>
                <w:kern w:val="0"/>
                <w:szCs w:val="24"/>
              </w:rPr>
              <w:t>指選擇權</w:t>
            </w:r>
          </w:p>
        </w:tc>
        <w:tc>
          <w:tcPr>
            <w:tcW w:w="1749" w:type="dxa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szCs w:val="24"/>
              </w:rPr>
              <w:t>週</w:t>
            </w:r>
            <w:proofErr w:type="gramEnd"/>
            <w:r w:rsidRPr="00335C7F">
              <w:rPr>
                <w:szCs w:val="24"/>
              </w:rPr>
              <w:t>到期契約與最近月</w:t>
            </w:r>
            <w:r w:rsidRPr="00335C7F">
              <w:rPr>
                <w:rFonts w:hint="eastAsia"/>
                <w:szCs w:val="24"/>
              </w:rPr>
              <w:t>到期</w:t>
            </w:r>
            <w:r w:rsidRPr="00335C7F">
              <w:rPr>
                <w:szCs w:val="24"/>
              </w:rPr>
              <w:t>契約</w:t>
            </w:r>
          </w:p>
        </w:tc>
        <w:tc>
          <w:tcPr>
            <w:tcW w:w="2410" w:type="dxa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2455" w:type="dxa"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  <w:proofErr w:type="gramStart"/>
            <w:r w:rsidRPr="00335C7F">
              <w:rPr>
                <w:rFonts w:ascii="標楷體" w:hAnsi="標楷體" w:hint="eastAsia"/>
                <w:szCs w:val="24"/>
              </w:rPr>
              <w:t>取得當盤最新</w:t>
            </w:r>
            <w:proofErr w:type="gramEnd"/>
            <w:r w:rsidRPr="00335C7F">
              <w:rPr>
                <w:rFonts w:ascii="標楷體" w:hAnsi="標楷體" w:hint="eastAsia"/>
                <w:szCs w:val="24"/>
              </w:rPr>
              <w:t>波動度參數前：2</w:t>
            </w:r>
            <w:r w:rsidRPr="00335C7F">
              <w:rPr>
                <w:rFonts w:hint="eastAsia"/>
                <w:kern w:val="0"/>
                <w:szCs w:val="24"/>
              </w:rPr>
              <w:t>%</w:t>
            </w:r>
          </w:p>
          <w:p w:rsidR="005238B2" w:rsidRPr="00335C7F" w:rsidRDefault="004224E8" w:rsidP="004224E8">
            <w:pPr>
              <w:rPr>
                <w:rFonts w:ascii="標楷體" w:hAnsi="標楷體"/>
                <w:szCs w:val="24"/>
              </w:rPr>
            </w:pPr>
            <w:proofErr w:type="gramStart"/>
            <w:r w:rsidRPr="00335C7F">
              <w:rPr>
                <w:rFonts w:ascii="標楷體" w:hAnsi="標楷體" w:hint="eastAsia"/>
                <w:szCs w:val="24"/>
              </w:rPr>
              <w:t>取得當盤最新</w:t>
            </w:r>
            <w:proofErr w:type="gramEnd"/>
            <w:r w:rsidRPr="00335C7F">
              <w:rPr>
                <w:rFonts w:ascii="標楷體" w:hAnsi="標楷體" w:hint="eastAsia"/>
                <w:szCs w:val="24"/>
              </w:rPr>
              <w:t>波動度參數後：2%×Delta絕對值×2</w:t>
            </w:r>
            <w:r w:rsidR="005238B2" w:rsidRPr="00335C7F">
              <w:rPr>
                <w:rFonts w:ascii="標楷體" w:hAnsi="標楷體" w:hint="eastAsia"/>
                <w:szCs w:val="24"/>
              </w:rPr>
              <w:t>。</w:t>
            </w:r>
          </w:p>
          <w:p w:rsidR="004224E8" w:rsidRPr="00335C7F" w:rsidRDefault="005238B2" w:rsidP="004224E8">
            <w:pPr>
              <w:rPr>
                <w:kern w:val="0"/>
                <w:szCs w:val="24"/>
              </w:rPr>
            </w:pPr>
            <w:r w:rsidRPr="00335C7F">
              <w:rPr>
                <w:rFonts w:ascii="標楷體" w:hAnsi="標楷體" w:hint="eastAsia"/>
                <w:szCs w:val="24"/>
              </w:rPr>
              <w:t>Delta絕對值未達0.25者，視為0.25；Delta絕對值逾0.5者，視為0.5。</w:t>
            </w:r>
          </w:p>
        </w:tc>
      </w:tr>
      <w:tr w:rsidR="004224E8" w:rsidRPr="00335C7F" w:rsidTr="004224E8">
        <w:trPr>
          <w:trHeight w:val="295"/>
        </w:trPr>
        <w:tc>
          <w:tcPr>
            <w:tcW w:w="0" w:type="auto"/>
            <w:vMerge/>
          </w:tcPr>
          <w:p w:rsidR="004224E8" w:rsidRPr="00335C7F" w:rsidRDefault="004224E8" w:rsidP="004224E8">
            <w:pPr>
              <w:rPr>
                <w:kern w:val="0"/>
                <w:szCs w:val="24"/>
              </w:rPr>
            </w:pPr>
          </w:p>
        </w:tc>
        <w:tc>
          <w:tcPr>
            <w:tcW w:w="2154" w:type="dxa"/>
            <w:vMerge/>
          </w:tcPr>
          <w:p w:rsidR="004224E8" w:rsidRPr="00335C7F" w:rsidRDefault="004224E8" w:rsidP="00305F1F">
            <w:pPr>
              <w:rPr>
                <w:kern w:val="0"/>
                <w:szCs w:val="24"/>
              </w:rPr>
            </w:pPr>
          </w:p>
        </w:tc>
        <w:tc>
          <w:tcPr>
            <w:tcW w:w="1749" w:type="dxa"/>
          </w:tcPr>
          <w:p w:rsidR="004224E8" w:rsidRPr="00335C7F" w:rsidRDefault="004224E8" w:rsidP="00305F1F">
            <w:pPr>
              <w:rPr>
                <w:szCs w:val="24"/>
              </w:rPr>
            </w:pPr>
            <w:proofErr w:type="gramStart"/>
            <w:r w:rsidRPr="00335C7F">
              <w:rPr>
                <w:rFonts w:hint="eastAsia"/>
                <w:szCs w:val="24"/>
              </w:rPr>
              <w:t>次近月</w:t>
            </w:r>
            <w:proofErr w:type="gramEnd"/>
            <w:r w:rsidRPr="00335C7F">
              <w:rPr>
                <w:rFonts w:hint="eastAsia"/>
                <w:szCs w:val="24"/>
              </w:rPr>
              <w:t>、第</w:t>
            </w:r>
            <w:r w:rsidRPr="00335C7F">
              <w:rPr>
                <w:rFonts w:hint="eastAsia"/>
                <w:szCs w:val="24"/>
              </w:rPr>
              <w:t>3</w:t>
            </w:r>
            <w:r w:rsidRPr="00335C7F">
              <w:rPr>
                <w:rFonts w:hint="eastAsia"/>
                <w:szCs w:val="24"/>
              </w:rPr>
              <w:t>近月、第</w:t>
            </w:r>
            <w:r w:rsidRPr="00335C7F">
              <w:rPr>
                <w:rFonts w:hint="eastAsia"/>
                <w:szCs w:val="24"/>
              </w:rPr>
              <w:t>1</w:t>
            </w:r>
            <w:r w:rsidRPr="00335C7F">
              <w:rPr>
                <w:rFonts w:hint="eastAsia"/>
                <w:szCs w:val="24"/>
              </w:rPr>
              <w:t>季月、第</w:t>
            </w:r>
            <w:r w:rsidRPr="00335C7F">
              <w:rPr>
                <w:rFonts w:hint="eastAsia"/>
                <w:szCs w:val="24"/>
              </w:rPr>
              <w:t>2</w:t>
            </w:r>
            <w:r w:rsidRPr="00335C7F">
              <w:rPr>
                <w:rFonts w:hint="eastAsia"/>
                <w:szCs w:val="24"/>
              </w:rPr>
              <w:t>季月</w:t>
            </w:r>
          </w:p>
        </w:tc>
        <w:tc>
          <w:tcPr>
            <w:tcW w:w="2410" w:type="dxa"/>
          </w:tcPr>
          <w:p w:rsidR="004224E8" w:rsidRPr="00335C7F" w:rsidRDefault="004224E8" w:rsidP="00305F1F">
            <w:pPr>
              <w:rPr>
                <w:szCs w:val="24"/>
              </w:rPr>
            </w:pPr>
            <w:r w:rsidRPr="00335C7F">
              <w:rPr>
                <w:rFonts w:hint="eastAsia"/>
                <w:szCs w:val="24"/>
              </w:rPr>
              <w:t>最近標的指數收盤價</w:t>
            </w:r>
          </w:p>
        </w:tc>
        <w:tc>
          <w:tcPr>
            <w:tcW w:w="2455" w:type="dxa"/>
          </w:tcPr>
          <w:p w:rsidR="004224E8" w:rsidRPr="00335C7F" w:rsidRDefault="004224E8" w:rsidP="00305F1F">
            <w:pPr>
              <w:rPr>
                <w:rFonts w:ascii="標楷體" w:hAnsi="標楷體"/>
                <w:szCs w:val="24"/>
              </w:rPr>
            </w:pPr>
            <w:r w:rsidRPr="00335C7F">
              <w:rPr>
                <w:rFonts w:ascii="標楷體" w:hAnsi="標楷體" w:hint="eastAsia"/>
                <w:szCs w:val="24"/>
              </w:rPr>
              <w:t>2%</w:t>
            </w:r>
          </w:p>
        </w:tc>
      </w:tr>
    </w:tbl>
    <w:p w:rsidR="002135E5" w:rsidRPr="00335C7F" w:rsidRDefault="002135E5" w:rsidP="008404FE">
      <w:pPr>
        <w:rPr>
          <w:b/>
          <w:kern w:val="0"/>
          <w:sz w:val="32"/>
          <w:szCs w:val="32"/>
        </w:rPr>
      </w:pPr>
    </w:p>
    <w:sectPr w:rsidR="002135E5" w:rsidRPr="00335C7F" w:rsidSect="00CA5229">
      <w:pgSz w:w="11907" w:h="16840"/>
      <w:pgMar w:top="720" w:right="720" w:bottom="720" w:left="720" w:header="272" w:footer="590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39" w:rsidRDefault="00CF1939">
      <w:r>
        <w:separator/>
      </w:r>
    </w:p>
  </w:endnote>
  <w:endnote w:type="continuationSeparator" w:id="0">
    <w:p w:rsidR="00CF1939" w:rsidRDefault="00CF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1F" w:rsidRDefault="00305F1F">
    <w:pPr>
      <w:pStyle w:val="a4"/>
      <w:framePr w:wrap="around" w:vAnchor="text" w:hAnchor="margin" w:y="1"/>
      <w:rPr>
        <w:rStyle w:val="afc"/>
        <w:rFonts w:ascii="Times New Roman" w:hAnsi="Times New Roman" w:hint="default"/>
      </w:rPr>
    </w:pPr>
    <w:r>
      <w:rPr>
        <w:rStyle w:val="afc"/>
        <w:rFonts w:ascii="Times New Roman" w:hAnsi="Times New Roman" w:hint="default"/>
      </w:rPr>
      <w:fldChar w:fldCharType="begin"/>
    </w:r>
    <w:r>
      <w:rPr>
        <w:rStyle w:val="afc"/>
        <w:rFonts w:ascii="Times New Roman" w:hAnsi="Times New Roman" w:hint="default"/>
      </w:rPr>
      <w:instrText xml:space="preserve">PAGE  </w:instrText>
    </w:r>
    <w:r>
      <w:rPr>
        <w:rStyle w:val="afc"/>
        <w:rFonts w:ascii="Times New Roman" w:hAnsi="Times New Roman" w:hint="default"/>
      </w:rPr>
      <w:fldChar w:fldCharType="separate"/>
    </w:r>
    <w:r>
      <w:rPr>
        <w:rStyle w:val="afc"/>
        <w:rFonts w:ascii="Times New Roman" w:hAnsi="Times New Roman" w:hint="default"/>
        <w:noProof/>
      </w:rPr>
      <w:t>一</w:t>
    </w:r>
    <w:r>
      <w:rPr>
        <w:rStyle w:val="afc"/>
        <w:rFonts w:ascii="Times New Roman" w:hAnsi="Times New Roman" w:hint="default"/>
      </w:rPr>
      <w:fldChar w:fldCharType="end"/>
    </w:r>
  </w:p>
  <w:p w:rsidR="00305F1F" w:rsidRDefault="00305F1F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1F" w:rsidRDefault="00305F1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39" w:rsidRDefault="00CF1939">
      <w:r>
        <w:separator/>
      </w:r>
    </w:p>
  </w:footnote>
  <w:footnote w:type="continuationSeparator" w:id="0">
    <w:p w:rsidR="00CF1939" w:rsidRDefault="00CF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1F" w:rsidRDefault="00305F1F">
    <w:pPr>
      <w:pStyle w:val="a3"/>
      <w:framePr w:wrap="around" w:vAnchor="text" w:hAnchor="margin" w:xAlign="right" w:y="1"/>
      <w:rPr>
        <w:rStyle w:val="afc"/>
        <w:rFonts w:ascii="Times New Roman" w:hAnsi="Times New Roman" w:hint="default"/>
      </w:rPr>
    </w:pPr>
    <w:r>
      <w:rPr>
        <w:rStyle w:val="afc"/>
        <w:rFonts w:ascii="Times New Roman" w:hAnsi="Times New Roman" w:hint="default"/>
      </w:rPr>
      <w:fldChar w:fldCharType="begin"/>
    </w:r>
    <w:r>
      <w:rPr>
        <w:rStyle w:val="afc"/>
        <w:rFonts w:ascii="Times New Roman" w:hAnsi="Times New Roman" w:hint="default"/>
      </w:rPr>
      <w:instrText xml:space="preserve">PAGE  </w:instrText>
    </w:r>
    <w:r>
      <w:rPr>
        <w:rStyle w:val="afc"/>
        <w:rFonts w:ascii="Times New Roman" w:hAnsi="Times New Roman" w:hint="default"/>
      </w:rPr>
      <w:fldChar w:fldCharType="end"/>
    </w:r>
  </w:p>
  <w:p w:rsidR="00305F1F" w:rsidRDefault="00305F1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897"/>
    <w:multiLevelType w:val="hybridMultilevel"/>
    <w:tmpl w:val="15189E6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1D54DB0"/>
    <w:multiLevelType w:val="hybridMultilevel"/>
    <w:tmpl w:val="4248211A"/>
    <w:lvl w:ilvl="0" w:tplc="22E4D644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9D7761C"/>
    <w:multiLevelType w:val="multilevel"/>
    <w:tmpl w:val="9D2401E6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Ansi="Times New Roman" w:hint="eastAsia"/>
        <w:b w:val="0"/>
        <w:i w:val="0"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1389" w:hanging="53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786" w:hanging="482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1956" w:hanging="368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341A123D"/>
    <w:multiLevelType w:val="hybridMultilevel"/>
    <w:tmpl w:val="238E54BC"/>
    <w:lvl w:ilvl="0" w:tplc="DFC08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C46FBC"/>
    <w:multiLevelType w:val="hybridMultilevel"/>
    <w:tmpl w:val="94F05A4A"/>
    <w:lvl w:ilvl="0" w:tplc="878814E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B91F9C"/>
    <w:multiLevelType w:val="hybridMultilevel"/>
    <w:tmpl w:val="9A8EC81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76318AE"/>
    <w:multiLevelType w:val="hybridMultilevel"/>
    <w:tmpl w:val="4D9E3178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37E80ED1"/>
    <w:multiLevelType w:val="hybridMultilevel"/>
    <w:tmpl w:val="B27CC99A"/>
    <w:lvl w:ilvl="0" w:tplc="46D819BA">
      <w:start w:val="1"/>
      <w:numFmt w:val="taiwaneseCountingThousand"/>
      <w:lvlText w:val="(%1)"/>
      <w:lvlJc w:val="left"/>
      <w:pPr>
        <w:ind w:left="14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8" w15:restartNumberingAfterBreak="0">
    <w:nsid w:val="42B841A1"/>
    <w:multiLevelType w:val="hybridMultilevel"/>
    <w:tmpl w:val="4D6C7634"/>
    <w:lvl w:ilvl="0" w:tplc="27427AAA">
      <w:start w:val="1"/>
      <w:numFmt w:val="taiwaneseCountingThousand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70C49A9"/>
    <w:multiLevelType w:val="hybridMultilevel"/>
    <w:tmpl w:val="4A7E2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F36F4F"/>
    <w:multiLevelType w:val="hybridMultilevel"/>
    <w:tmpl w:val="4248211A"/>
    <w:lvl w:ilvl="0" w:tplc="22E4D644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48412D57"/>
    <w:multiLevelType w:val="hybridMultilevel"/>
    <w:tmpl w:val="4D9E3178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2" w15:restartNumberingAfterBreak="0">
    <w:nsid w:val="4B05495D"/>
    <w:multiLevelType w:val="hybridMultilevel"/>
    <w:tmpl w:val="8B304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7B03AC"/>
    <w:multiLevelType w:val="hybridMultilevel"/>
    <w:tmpl w:val="078285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847606D"/>
    <w:multiLevelType w:val="multilevel"/>
    <w:tmpl w:val="21AAED8C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Ansi="Times New Roman"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38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1786" w:hanging="482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1956" w:hanging="368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5E302667"/>
    <w:multiLevelType w:val="hybridMultilevel"/>
    <w:tmpl w:val="538A3736"/>
    <w:lvl w:ilvl="0" w:tplc="8B025496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6DC74393"/>
    <w:multiLevelType w:val="multilevel"/>
    <w:tmpl w:val="994217CE"/>
    <w:lvl w:ilvl="0">
      <w:start w:val="1"/>
      <w:numFmt w:val="taiwaneseCountingThousand"/>
      <w:lvlText w:val="%1、"/>
      <w:lvlJc w:val="left"/>
      <w:pPr>
        <w:ind w:left="964" w:hanging="652"/>
      </w:pPr>
      <w:rPr>
        <w:rFonts w:ascii="標楷體" w:eastAsia="標楷體" w:hAnsi="標楷體" w:cs="Times New Roman" w:hint="eastAsia"/>
        <w:b w:val="0"/>
        <w:i w:val="0"/>
        <w:sz w:val="24"/>
        <w:szCs w:val="24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38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1786" w:hanging="482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1956" w:hanging="368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78757A4D"/>
    <w:multiLevelType w:val="hybridMultilevel"/>
    <w:tmpl w:val="186AD980"/>
    <w:lvl w:ilvl="0" w:tplc="3D78B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014C56"/>
    <w:multiLevelType w:val="hybridMultilevel"/>
    <w:tmpl w:val="B27CC99A"/>
    <w:lvl w:ilvl="0" w:tplc="46D819BA">
      <w:start w:val="1"/>
      <w:numFmt w:val="taiwaneseCountingThousand"/>
      <w:lvlText w:val="(%1)"/>
      <w:lvlJc w:val="left"/>
      <w:pPr>
        <w:ind w:left="14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14"/>
  </w:num>
  <w:num w:numId="26">
    <w:abstractNumId w:val="6"/>
  </w:num>
  <w:num w:numId="27">
    <w:abstractNumId w:val="2"/>
  </w:num>
  <w:num w:numId="28">
    <w:abstractNumId w:val="5"/>
  </w:num>
  <w:num w:numId="29">
    <w:abstractNumId w:val="8"/>
  </w:num>
  <w:num w:numId="30">
    <w:abstractNumId w:val="0"/>
  </w:num>
  <w:num w:numId="31">
    <w:abstractNumId w:val="18"/>
  </w:num>
  <w:num w:numId="32">
    <w:abstractNumId w:val="7"/>
  </w:num>
  <w:num w:numId="33">
    <w:abstractNumId w:val="9"/>
  </w:num>
  <w:num w:numId="34">
    <w:abstractNumId w:val="3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0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oosedockind" w:val="簽"/>
    <w:docVar w:name="getNum" w:val="創文"/>
    <w:docVar w:name="myname" w:val="陳柏璋"/>
    <w:docVar w:name="myunit" w:val="交易部"/>
    <w:docVar w:name="NewDocFlag" w:val="93newdoc"/>
    <w:docVar w:name="SaveDraftToDoc" w:val="0"/>
    <w:docVar w:name="SaveStatus" w:val="0"/>
    <w:docVar w:name="sendcount" w:val="0"/>
    <w:docVar w:name="serial" w:val="TD09900001564"/>
    <w:docVar w:name="密等" w:val="普通"/>
    <w:docVar w:name="速別" w:val="最速件"/>
  </w:docVars>
  <w:rsids>
    <w:rsidRoot w:val="00332A90"/>
    <w:rsid w:val="0000060A"/>
    <w:rsid w:val="00000AA4"/>
    <w:rsid w:val="00023B6F"/>
    <w:rsid w:val="000322F4"/>
    <w:rsid w:val="000415AF"/>
    <w:rsid w:val="00044EAF"/>
    <w:rsid w:val="000469BD"/>
    <w:rsid w:val="0005383C"/>
    <w:rsid w:val="00060D44"/>
    <w:rsid w:val="00062ED9"/>
    <w:rsid w:val="00072E93"/>
    <w:rsid w:val="0007474F"/>
    <w:rsid w:val="000762D5"/>
    <w:rsid w:val="00083BB5"/>
    <w:rsid w:val="0009279C"/>
    <w:rsid w:val="000A259B"/>
    <w:rsid w:val="000A523A"/>
    <w:rsid w:val="000A72F1"/>
    <w:rsid w:val="000B3FD1"/>
    <w:rsid w:val="000C78B9"/>
    <w:rsid w:val="000D417A"/>
    <w:rsid w:val="000E2DB8"/>
    <w:rsid w:val="000E5576"/>
    <w:rsid w:val="000E7E74"/>
    <w:rsid w:val="000F429F"/>
    <w:rsid w:val="000F6FC3"/>
    <w:rsid w:val="0010193F"/>
    <w:rsid w:val="001065FE"/>
    <w:rsid w:val="00113E70"/>
    <w:rsid w:val="001168A1"/>
    <w:rsid w:val="001213D5"/>
    <w:rsid w:val="00127DA2"/>
    <w:rsid w:val="00130E6E"/>
    <w:rsid w:val="00135C00"/>
    <w:rsid w:val="001375E4"/>
    <w:rsid w:val="00140942"/>
    <w:rsid w:val="00150F0E"/>
    <w:rsid w:val="00170A85"/>
    <w:rsid w:val="00170FC3"/>
    <w:rsid w:val="001812B7"/>
    <w:rsid w:val="001905AF"/>
    <w:rsid w:val="00192EC8"/>
    <w:rsid w:val="001A711F"/>
    <w:rsid w:val="001B21A4"/>
    <w:rsid w:val="001C3458"/>
    <w:rsid w:val="001D1DF2"/>
    <w:rsid w:val="001E0263"/>
    <w:rsid w:val="001E5381"/>
    <w:rsid w:val="001F21CD"/>
    <w:rsid w:val="001F6066"/>
    <w:rsid w:val="002135E5"/>
    <w:rsid w:val="00214EE6"/>
    <w:rsid w:val="002159FE"/>
    <w:rsid w:val="00225A19"/>
    <w:rsid w:val="00225F71"/>
    <w:rsid w:val="00231E49"/>
    <w:rsid w:val="002418B0"/>
    <w:rsid w:val="00243E7A"/>
    <w:rsid w:val="00254142"/>
    <w:rsid w:val="002542A2"/>
    <w:rsid w:val="00256A7B"/>
    <w:rsid w:val="00266267"/>
    <w:rsid w:val="00267A0C"/>
    <w:rsid w:val="002928B6"/>
    <w:rsid w:val="002929EC"/>
    <w:rsid w:val="00292A58"/>
    <w:rsid w:val="00292EDE"/>
    <w:rsid w:val="002A0283"/>
    <w:rsid w:val="002A65AD"/>
    <w:rsid w:val="002B6B4F"/>
    <w:rsid w:val="002C1B0D"/>
    <w:rsid w:val="002C2CAD"/>
    <w:rsid w:val="002C4BF5"/>
    <w:rsid w:val="002D4425"/>
    <w:rsid w:val="002E2F05"/>
    <w:rsid w:val="002E4045"/>
    <w:rsid w:val="002F2120"/>
    <w:rsid w:val="002F78E7"/>
    <w:rsid w:val="003035E1"/>
    <w:rsid w:val="00303E86"/>
    <w:rsid w:val="00305F1F"/>
    <w:rsid w:val="0031154F"/>
    <w:rsid w:val="0031503D"/>
    <w:rsid w:val="003312E7"/>
    <w:rsid w:val="00332A90"/>
    <w:rsid w:val="00334E1E"/>
    <w:rsid w:val="00335C7F"/>
    <w:rsid w:val="00336F31"/>
    <w:rsid w:val="00350566"/>
    <w:rsid w:val="00353CDC"/>
    <w:rsid w:val="00354519"/>
    <w:rsid w:val="00355EC0"/>
    <w:rsid w:val="00382A05"/>
    <w:rsid w:val="003A09A6"/>
    <w:rsid w:val="003C1C48"/>
    <w:rsid w:val="003C25F2"/>
    <w:rsid w:val="003E0B18"/>
    <w:rsid w:val="003F0E9A"/>
    <w:rsid w:val="003F67C1"/>
    <w:rsid w:val="00402A27"/>
    <w:rsid w:val="004224E8"/>
    <w:rsid w:val="00427DDC"/>
    <w:rsid w:val="00437273"/>
    <w:rsid w:val="0045325F"/>
    <w:rsid w:val="00466233"/>
    <w:rsid w:val="0047081A"/>
    <w:rsid w:val="00472CD1"/>
    <w:rsid w:val="00482D4F"/>
    <w:rsid w:val="004838DF"/>
    <w:rsid w:val="00492DD6"/>
    <w:rsid w:val="00494156"/>
    <w:rsid w:val="00494361"/>
    <w:rsid w:val="004C3129"/>
    <w:rsid w:val="004D0849"/>
    <w:rsid w:val="004D19CE"/>
    <w:rsid w:val="004D53BE"/>
    <w:rsid w:val="004D5A2D"/>
    <w:rsid w:val="004E2011"/>
    <w:rsid w:val="004F78C6"/>
    <w:rsid w:val="0050177E"/>
    <w:rsid w:val="00517EF5"/>
    <w:rsid w:val="005238B2"/>
    <w:rsid w:val="00524074"/>
    <w:rsid w:val="005255B7"/>
    <w:rsid w:val="00530B7F"/>
    <w:rsid w:val="005310B8"/>
    <w:rsid w:val="005368A2"/>
    <w:rsid w:val="0054198E"/>
    <w:rsid w:val="0054720B"/>
    <w:rsid w:val="00561173"/>
    <w:rsid w:val="00562BE2"/>
    <w:rsid w:val="0056440D"/>
    <w:rsid w:val="00592DAC"/>
    <w:rsid w:val="00594603"/>
    <w:rsid w:val="00597E82"/>
    <w:rsid w:val="005A6DEE"/>
    <w:rsid w:val="005B6D27"/>
    <w:rsid w:val="005C5D36"/>
    <w:rsid w:val="005C6AC7"/>
    <w:rsid w:val="005C6D05"/>
    <w:rsid w:val="005C788C"/>
    <w:rsid w:val="005C7B6F"/>
    <w:rsid w:val="005E1D80"/>
    <w:rsid w:val="005F2822"/>
    <w:rsid w:val="005F5288"/>
    <w:rsid w:val="006107D6"/>
    <w:rsid w:val="00615C93"/>
    <w:rsid w:val="00620E6B"/>
    <w:rsid w:val="00622B51"/>
    <w:rsid w:val="00640813"/>
    <w:rsid w:val="00657DE7"/>
    <w:rsid w:val="006713B2"/>
    <w:rsid w:val="006731BA"/>
    <w:rsid w:val="00677891"/>
    <w:rsid w:val="00685099"/>
    <w:rsid w:val="00697BA7"/>
    <w:rsid w:val="006B13CD"/>
    <w:rsid w:val="006B5FFD"/>
    <w:rsid w:val="006C77B2"/>
    <w:rsid w:val="006C7DE2"/>
    <w:rsid w:val="006D3E10"/>
    <w:rsid w:val="006D68B7"/>
    <w:rsid w:val="006F2D92"/>
    <w:rsid w:val="0070523E"/>
    <w:rsid w:val="00705D50"/>
    <w:rsid w:val="007070F3"/>
    <w:rsid w:val="00707CC5"/>
    <w:rsid w:val="007158F1"/>
    <w:rsid w:val="00716408"/>
    <w:rsid w:val="007210E1"/>
    <w:rsid w:val="00721466"/>
    <w:rsid w:val="00721514"/>
    <w:rsid w:val="00724E87"/>
    <w:rsid w:val="00736124"/>
    <w:rsid w:val="00741F7F"/>
    <w:rsid w:val="00753AA2"/>
    <w:rsid w:val="007547D9"/>
    <w:rsid w:val="007579C8"/>
    <w:rsid w:val="00762C88"/>
    <w:rsid w:val="00763368"/>
    <w:rsid w:val="007648C2"/>
    <w:rsid w:val="0076499C"/>
    <w:rsid w:val="00776BDD"/>
    <w:rsid w:val="00790F4D"/>
    <w:rsid w:val="00793B43"/>
    <w:rsid w:val="007A7C5F"/>
    <w:rsid w:val="007B2023"/>
    <w:rsid w:val="007B788A"/>
    <w:rsid w:val="007B78A7"/>
    <w:rsid w:val="007B7F1E"/>
    <w:rsid w:val="007D0BDB"/>
    <w:rsid w:val="007D5635"/>
    <w:rsid w:val="007D7A72"/>
    <w:rsid w:val="007E73E8"/>
    <w:rsid w:val="007F168B"/>
    <w:rsid w:val="007F6A04"/>
    <w:rsid w:val="007F6C9B"/>
    <w:rsid w:val="007F750E"/>
    <w:rsid w:val="00806F34"/>
    <w:rsid w:val="008128DD"/>
    <w:rsid w:val="00822E5F"/>
    <w:rsid w:val="0082715A"/>
    <w:rsid w:val="0083601C"/>
    <w:rsid w:val="008404FE"/>
    <w:rsid w:val="00841FE8"/>
    <w:rsid w:val="00854CBB"/>
    <w:rsid w:val="0085604B"/>
    <w:rsid w:val="0087256C"/>
    <w:rsid w:val="008917A5"/>
    <w:rsid w:val="00894B38"/>
    <w:rsid w:val="00897652"/>
    <w:rsid w:val="008A07A5"/>
    <w:rsid w:val="008A1403"/>
    <w:rsid w:val="008A3964"/>
    <w:rsid w:val="008A4F62"/>
    <w:rsid w:val="008B1195"/>
    <w:rsid w:val="008B21B2"/>
    <w:rsid w:val="008B509D"/>
    <w:rsid w:val="008B6B9B"/>
    <w:rsid w:val="008C6C8E"/>
    <w:rsid w:val="008E00EA"/>
    <w:rsid w:val="008E562F"/>
    <w:rsid w:val="008E6492"/>
    <w:rsid w:val="008E7750"/>
    <w:rsid w:val="008F22B0"/>
    <w:rsid w:val="008F5C62"/>
    <w:rsid w:val="008F75A5"/>
    <w:rsid w:val="009102E0"/>
    <w:rsid w:val="009171E3"/>
    <w:rsid w:val="00920773"/>
    <w:rsid w:val="00932B77"/>
    <w:rsid w:val="00962165"/>
    <w:rsid w:val="0097430E"/>
    <w:rsid w:val="009771E6"/>
    <w:rsid w:val="0098280A"/>
    <w:rsid w:val="00983CF4"/>
    <w:rsid w:val="009847FD"/>
    <w:rsid w:val="009A0AB1"/>
    <w:rsid w:val="009A0C84"/>
    <w:rsid w:val="009A19F8"/>
    <w:rsid w:val="009B10AC"/>
    <w:rsid w:val="009B7A5B"/>
    <w:rsid w:val="009D094C"/>
    <w:rsid w:val="009D29A1"/>
    <w:rsid w:val="009E4886"/>
    <w:rsid w:val="009F5EA3"/>
    <w:rsid w:val="009F7B65"/>
    <w:rsid w:val="00A11E94"/>
    <w:rsid w:val="00A1346F"/>
    <w:rsid w:val="00A17EE5"/>
    <w:rsid w:val="00A20B37"/>
    <w:rsid w:val="00A25331"/>
    <w:rsid w:val="00A347E7"/>
    <w:rsid w:val="00A34BB6"/>
    <w:rsid w:val="00A42D34"/>
    <w:rsid w:val="00A54C56"/>
    <w:rsid w:val="00A57957"/>
    <w:rsid w:val="00A65091"/>
    <w:rsid w:val="00A66C55"/>
    <w:rsid w:val="00A74435"/>
    <w:rsid w:val="00A95908"/>
    <w:rsid w:val="00AA2DA1"/>
    <w:rsid w:val="00AA3211"/>
    <w:rsid w:val="00AC00DE"/>
    <w:rsid w:val="00AC2451"/>
    <w:rsid w:val="00AC4CDF"/>
    <w:rsid w:val="00AD12F6"/>
    <w:rsid w:val="00AD5673"/>
    <w:rsid w:val="00AE502A"/>
    <w:rsid w:val="00AF1CC4"/>
    <w:rsid w:val="00AF3F9F"/>
    <w:rsid w:val="00AF6995"/>
    <w:rsid w:val="00B00ED2"/>
    <w:rsid w:val="00B0567C"/>
    <w:rsid w:val="00B12E36"/>
    <w:rsid w:val="00B149C0"/>
    <w:rsid w:val="00B161D1"/>
    <w:rsid w:val="00B21E35"/>
    <w:rsid w:val="00B36B73"/>
    <w:rsid w:val="00B52FE2"/>
    <w:rsid w:val="00B53CE7"/>
    <w:rsid w:val="00B54EA1"/>
    <w:rsid w:val="00B61341"/>
    <w:rsid w:val="00B65A8E"/>
    <w:rsid w:val="00B66711"/>
    <w:rsid w:val="00B6677C"/>
    <w:rsid w:val="00B835C5"/>
    <w:rsid w:val="00B836C1"/>
    <w:rsid w:val="00BA032A"/>
    <w:rsid w:val="00BA7211"/>
    <w:rsid w:val="00BB16BD"/>
    <w:rsid w:val="00BB6190"/>
    <w:rsid w:val="00BC2825"/>
    <w:rsid w:val="00BE336D"/>
    <w:rsid w:val="00BE7EB8"/>
    <w:rsid w:val="00BF6BF2"/>
    <w:rsid w:val="00C015CD"/>
    <w:rsid w:val="00C10E65"/>
    <w:rsid w:val="00C13D8E"/>
    <w:rsid w:val="00C1670B"/>
    <w:rsid w:val="00C20458"/>
    <w:rsid w:val="00C405DE"/>
    <w:rsid w:val="00C418B1"/>
    <w:rsid w:val="00C44A06"/>
    <w:rsid w:val="00C455DE"/>
    <w:rsid w:val="00C46669"/>
    <w:rsid w:val="00C545D7"/>
    <w:rsid w:val="00C549CA"/>
    <w:rsid w:val="00C709BE"/>
    <w:rsid w:val="00C74484"/>
    <w:rsid w:val="00C77E8B"/>
    <w:rsid w:val="00C8296D"/>
    <w:rsid w:val="00C86F87"/>
    <w:rsid w:val="00CA2ED0"/>
    <w:rsid w:val="00CA5229"/>
    <w:rsid w:val="00CC1819"/>
    <w:rsid w:val="00CC30DF"/>
    <w:rsid w:val="00CC4236"/>
    <w:rsid w:val="00CE4D72"/>
    <w:rsid w:val="00CF00C4"/>
    <w:rsid w:val="00CF1939"/>
    <w:rsid w:val="00D216DE"/>
    <w:rsid w:val="00D2316F"/>
    <w:rsid w:val="00D55B6A"/>
    <w:rsid w:val="00D61234"/>
    <w:rsid w:val="00D61B10"/>
    <w:rsid w:val="00D70DDD"/>
    <w:rsid w:val="00D776E3"/>
    <w:rsid w:val="00D83912"/>
    <w:rsid w:val="00D86E00"/>
    <w:rsid w:val="00D94C8D"/>
    <w:rsid w:val="00DA65C2"/>
    <w:rsid w:val="00DB5A8A"/>
    <w:rsid w:val="00DC48DF"/>
    <w:rsid w:val="00DC5AE1"/>
    <w:rsid w:val="00DC5E7F"/>
    <w:rsid w:val="00DC6D26"/>
    <w:rsid w:val="00DC7B32"/>
    <w:rsid w:val="00DD39D4"/>
    <w:rsid w:val="00DE0ED5"/>
    <w:rsid w:val="00DE3615"/>
    <w:rsid w:val="00DE531B"/>
    <w:rsid w:val="00DE69FB"/>
    <w:rsid w:val="00DE7A05"/>
    <w:rsid w:val="00DF583A"/>
    <w:rsid w:val="00E0280E"/>
    <w:rsid w:val="00E13C43"/>
    <w:rsid w:val="00E21525"/>
    <w:rsid w:val="00E4775B"/>
    <w:rsid w:val="00E507F1"/>
    <w:rsid w:val="00E52204"/>
    <w:rsid w:val="00E54EF2"/>
    <w:rsid w:val="00E736E5"/>
    <w:rsid w:val="00E73D56"/>
    <w:rsid w:val="00E801C8"/>
    <w:rsid w:val="00E8172B"/>
    <w:rsid w:val="00E82730"/>
    <w:rsid w:val="00EA2702"/>
    <w:rsid w:val="00EA2F05"/>
    <w:rsid w:val="00EB1FCA"/>
    <w:rsid w:val="00EB50E3"/>
    <w:rsid w:val="00F04E2C"/>
    <w:rsid w:val="00F20A84"/>
    <w:rsid w:val="00F41C4A"/>
    <w:rsid w:val="00F46F0F"/>
    <w:rsid w:val="00F50545"/>
    <w:rsid w:val="00F52BB4"/>
    <w:rsid w:val="00F57F4A"/>
    <w:rsid w:val="00F604B3"/>
    <w:rsid w:val="00F7062C"/>
    <w:rsid w:val="00F71F60"/>
    <w:rsid w:val="00F74721"/>
    <w:rsid w:val="00F8351E"/>
    <w:rsid w:val="00F912BC"/>
    <w:rsid w:val="00FA7E4C"/>
    <w:rsid w:val="00FB4C3C"/>
    <w:rsid w:val="00FC0914"/>
    <w:rsid w:val="00FC32B2"/>
    <w:rsid w:val="00FC7D88"/>
    <w:rsid w:val="00FD1678"/>
    <w:rsid w:val="00FD6F98"/>
    <w:rsid w:val="00FE2659"/>
    <w:rsid w:val="00FE2CB1"/>
    <w:rsid w:val="00FE32A5"/>
    <w:rsid w:val="00FE47BC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8789F-E49C-4FAF-A9B6-2DDEB092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pPr>
      <w:snapToGrid/>
      <w:spacing w:line="360" w:lineRule="exact"/>
    </w:pPr>
    <w:rPr>
      <w:sz w:val="20"/>
    </w:rPr>
  </w:style>
  <w:style w:type="paragraph" w:styleId="a6">
    <w:name w:val="Body Text Indent"/>
    <w:basedOn w:val="a"/>
    <w:pPr>
      <w:spacing w:line="240" w:lineRule="exact"/>
      <w:ind w:left="600" w:hangingChars="300" w:hanging="600"/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8">
    <w:name w:val="公文(承辦單位)"/>
    <w:basedOn w:val="a"/>
    <w:pPr>
      <w:widowControl/>
    </w:pPr>
    <w:rPr>
      <w:noProof/>
      <w:kern w:val="0"/>
    </w:rPr>
  </w:style>
  <w:style w:type="paragraph" w:customStyle="1" w:styleId="a9">
    <w:name w:val="行文機關"/>
    <w:basedOn w:val="a"/>
    <w:pPr>
      <w:spacing w:line="300" w:lineRule="exact"/>
      <w:ind w:left="8959" w:hanging="8959"/>
    </w:pPr>
    <w:rPr>
      <w:sz w:val="28"/>
    </w:rPr>
  </w:style>
  <w:style w:type="paragraph" w:customStyle="1" w:styleId="aa">
    <w:name w:val="主旨"/>
    <w:basedOn w:val="a"/>
    <w:pPr>
      <w:ind w:left="964" w:hanging="964"/>
      <w:jc w:val="both"/>
    </w:pPr>
    <w:rPr>
      <w:sz w:val="32"/>
    </w:rPr>
  </w:style>
  <w:style w:type="paragraph" w:customStyle="1" w:styleId="ab">
    <w:name w:val="地名"/>
    <w:basedOn w:val="a"/>
    <w:rPr>
      <w:sz w:val="28"/>
    </w:rPr>
  </w:style>
  <w:style w:type="paragraph" w:customStyle="1" w:styleId="ac">
    <w:name w:val="公文(檔號)"/>
    <w:basedOn w:val="a"/>
    <w:pPr>
      <w:widowControl/>
    </w:pPr>
    <w:rPr>
      <w:noProof/>
      <w:color w:val="FF0000"/>
      <w:kern w:val="0"/>
    </w:rPr>
  </w:style>
  <w:style w:type="paragraph" w:customStyle="1" w:styleId="ad">
    <w:name w:val="公文(敬會)"/>
    <w:basedOn w:val="a"/>
    <w:next w:val="a"/>
    <w:pPr>
      <w:widowControl/>
      <w:adjustRightInd w:val="0"/>
      <w:ind w:left="720" w:hanging="720"/>
    </w:pPr>
    <w:rPr>
      <w:noProof/>
      <w:kern w:val="0"/>
    </w:rPr>
  </w:style>
  <w:style w:type="paragraph" w:customStyle="1" w:styleId="ae">
    <w:name w:val="批示欄位"/>
    <w:basedOn w:val="a"/>
    <w:pPr>
      <w:widowControl/>
    </w:pPr>
    <w:rPr>
      <w:noProof/>
      <w:kern w:val="0"/>
    </w:rPr>
  </w:style>
  <w:style w:type="paragraph" w:customStyle="1" w:styleId="af">
    <w:name w:val="機關名稱"/>
    <w:basedOn w:val="a"/>
    <w:rPr>
      <w:sz w:val="44"/>
    </w:rPr>
  </w:style>
  <w:style w:type="paragraph" w:customStyle="1" w:styleId="af0">
    <w:name w:val="公告事項"/>
    <w:basedOn w:val="a"/>
    <w:autoRedefine/>
    <w:pPr>
      <w:kinsoku w:val="0"/>
      <w:adjustRightInd w:val="0"/>
      <w:ind w:left="1803" w:hanging="1803"/>
    </w:pPr>
    <w:rPr>
      <w:sz w:val="36"/>
    </w:rPr>
  </w:style>
  <w:style w:type="paragraph" w:customStyle="1" w:styleId="af1">
    <w:name w:val="發文日期"/>
    <w:basedOn w:val="a"/>
    <w:pPr>
      <w:spacing w:line="280" w:lineRule="exact"/>
    </w:pPr>
  </w:style>
  <w:style w:type="paragraph" w:customStyle="1" w:styleId="af2">
    <w:name w:val="發文字號"/>
    <w:basedOn w:val="a"/>
    <w:pPr>
      <w:spacing w:line="280" w:lineRule="exact"/>
    </w:pPr>
  </w:style>
  <w:style w:type="paragraph" w:customStyle="1" w:styleId="af3">
    <w:name w:val="附件"/>
    <w:basedOn w:val="a"/>
    <w:pPr>
      <w:spacing w:line="280" w:lineRule="exact"/>
      <w:ind w:left="680" w:hanging="680"/>
    </w:pPr>
  </w:style>
  <w:style w:type="paragraph" w:customStyle="1" w:styleId="af4">
    <w:name w:val="分項段落"/>
    <w:basedOn w:val="a"/>
    <w:pPr>
      <w:widowControl/>
      <w:spacing w:before="120" w:line="440" w:lineRule="exact"/>
    </w:pPr>
    <w:rPr>
      <w:noProof/>
      <w:spacing w:val="-20"/>
      <w:kern w:val="0"/>
      <w:sz w:val="32"/>
    </w:rPr>
  </w:style>
  <w:style w:type="paragraph" w:customStyle="1" w:styleId="af5">
    <w:name w:val="說明辦法首行"/>
    <w:basedOn w:val="a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6">
    <w:name w:val="依據"/>
    <w:basedOn w:val="a"/>
    <w:pPr>
      <w:kinsoku w:val="0"/>
      <w:adjustRightInd w:val="0"/>
      <w:ind w:left="1077" w:hanging="1077"/>
    </w:pPr>
    <w:rPr>
      <w:sz w:val="36"/>
    </w:rPr>
  </w:style>
  <w:style w:type="paragraph" w:customStyle="1" w:styleId="af7">
    <w:name w:val="受文者"/>
    <w:basedOn w:val="a9"/>
    <w:pPr>
      <w:ind w:left="1276" w:hanging="1276"/>
    </w:pPr>
    <w:rPr>
      <w:sz w:val="32"/>
    </w:rPr>
  </w:style>
  <w:style w:type="paragraph" w:customStyle="1" w:styleId="af8">
    <w:name w:val="正副本"/>
    <w:basedOn w:val="a"/>
    <w:pPr>
      <w:spacing w:line="280" w:lineRule="exact"/>
      <w:ind w:left="726" w:hanging="726"/>
      <w:jc w:val="both"/>
    </w:pPr>
  </w:style>
  <w:style w:type="paragraph" w:customStyle="1" w:styleId="af9">
    <w:name w:val="聯絡方式"/>
    <w:basedOn w:val="a"/>
    <w:pPr>
      <w:spacing w:line="260" w:lineRule="exact"/>
      <w:ind w:left="500" w:hanging="500"/>
    </w:pPr>
  </w:style>
  <w:style w:type="paragraph" w:customStyle="1" w:styleId="afa">
    <w:name w:val="地址"/>
    <w:basedOn w:val="a"/>
    <w:pPr>
      <w:spacing w:line="240" w:lineRule="exact"/>
      <w:ind w:left="300" w:hanging="300"/>
    </w:pPr>
  </w:style>
  <w:style w:type="paragraph" w:customStyle="1" w:styleId="afb">
    <w:name w:val="首長"/>
    <w:basedOn w:val="aa"/>
    <w:pPr>
      <w:spacing w:line="500" w:lineRule="exact"/>
    </w:pPr>
    <w:rPr>
      <w:sz w:val="40"/>
    </w:rPr>
  </w:style>
  <w:style w:type="character" w:styleId="afc">
    <w:name w:val="page number"/>
    <w:basedOn w:val="a0"/>
    <w:rPr>
      <w:rFonts w:ascii="標楷體" w:eastAsia="標楷體" w:hAnsi="標楷體" w:hint="eastAsia"/>
      <w:sz w:val="20"/>
    </w:rPr>
  </w:style>
  <w:style w:type="paragraph" w:customStyle="1" w:styleId="-1">
    <w:name w:val="內文-1"/>
    <w:basedOn w:val="a"/>
    <w:rsid w:val="00170A85"/>
    <w:pPr>
      <w:snapToGrid/>
      <w:spacing w:beforeLines="50" w:afterLines="50"/>
      <w:jc w:val="both"/>
    </w:pPr>
    <w:rPr>
      <w:rFonts w:ascii="標楷體" w:hAnsi="標楷體" w:cs="Arial"/>
      <w:sz w:val="27"/>
      <w:szCs w:val="26"/>
    </w:rPr>
  </w:style>
  <w:style w:type="table" w:styleId="afd">
    <w:name w:val="Table Grid"/>
    <w:basedOn w:val="a1"/>
    <w:rsid w:val="00CA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rsid w:val="0038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rsid w:val="00382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0844;&#21578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43CC-A6F8-46EE-8DCC-9936F8EC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公告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>Taiwan Futures Exchange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juliusc</dc:creator>
  <cp:keywords/>
  <cp:lastModifiedBy>交易部-楊博丞</cp:lastModifiedBy>
  <cp:revision>4</cp:revision>
  <cp:lastPrinted>2020-05-20T06:46:00Z</cp:lastPrinted>
  <dcterms:created xsi:type="dcterms:W3CDTF">2020-10-21T10:35:00Z</dcterms:created>
  <dcterms:modified xsi:type="dcterms:W3CDTF">2020-11-11T01:35:00Z</dcterms:modified>
</cp:coreProperties>
</file>