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66" w:rsidRPr="00021537" w:rsidRDefault="002A6D33">
      <w:pPr>
        <w:jc w:val="both"/>
        <w:rPr>
          <w:rFonts w:ascii="標楷體" w:eastAsia="標楷體" w:hAnsi="標楷體"/>
          <w:sz w:val="28"/>
        </w:rPr>
      </w:pPr>
      <w:r w:rsidRPr="00021537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81280</wp:posOffset>
                </wp:positionV>
                <wp:extent cx="635000" cy="317500"/>
                <wp:effectExtent l="0" t="0" r="0" b="1270"/>
                <wp:wrapNone/>
                <wp:docPr id="19" name="記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BBF" w:rsidRPr="00EB0BBF" w:rsidRDefault="00EB0BBF" w:rsidP="00EB0BBF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6.4pt;width:50pt;height:25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" stroked="f">
                <v:textbox>
                  <w:txbxContent>
                    <w:p w:rsidR="00EB0BBF" w:rsidRPr="00EB0BBF" w:rsidRDefault="00EB0BBF" w:rsidP="00EB0BBF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21537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443230</wp:posOffset>
                </wp:positionV>
                <wp:extent cx="636905" cy="396240"/>
                <wp:effectExtent l="9525" t="5080" r="10795" b="8255"/>
                <wp:wrapNone/>
                <wp:docPr id="18" name="函抄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66" w:rsidRDefault="007E7466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36"/>
                              </w:rPr>
                              <w:t>抄本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抄本" o:spid="_x0000_s1027" type="#_x0000_t202" style="position:absolute;left:0;text-align:left;margin-left:6in;margin-top:34.9pt;width:50.15pt;height:31.2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" filled="f">
                <v:textbox inset=".5mm,,.5mm">
                  <w:txbxContent>
                    <w:p w:rsidR="007E7466" w:rsidRDefault="007E7466">
                      <w:pPr>
                        <w:spacing w:line="360" w:lineRule="exact"/>
                        <w:jc w:val="center"/>
                        <w:rPr>
                          <w:rFonts w:eastAsia="標楷體"/>
                          <w:color w:val="000000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36"/>
                        </w:rPr>
                        <w:t>抄本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7466" w:rsidRPr="00021537">
        <w:rPr>
          <w:rFonts w:ascii="標楷體" w:eastAsia="標楷體" w:hAnsi="標楷體" w:hint="eastAsia"/>
          <w:sz w:val="40"/>
        </w:rPr>
        <w:t>臺灣期貨交易所　新聞稿</w:t>
      </w:r>
      <w:r w:rsidR="00DF34A4">
        <w:rPr>
          <w:rFonts w:ascii="標楷體" w:eastAsia="標楷體" w:hAnsi="標楷體" w:hint="eastAsia"/>
          <w:sz w:val="40"/>
        </w:rPr>
        <w:t xml:space="preserve">       </w:t>
      </w:r>
    </w:p>
    <w:p w:rsidR="00461C21" w:rsidRPr="00021537" w:rsidRDefault="002A6D33" w:rsidP="00461C21">
      <w:pPr>
        <w:pStyle w:val="a6"/>
        <w:widowControl w:val="0"/>
        <w:adjustRightInd w:val="0"/>
        <w:spacing w:line="240" w:lineRule="atLeast"/>
        <w:ind w:leftChars="4" w:left="1690" w:hangingChars="600" w:hanging="1680"/>
        <w:rPr>
          <w:kern w:val="2"/>
        </w:rPr>
      </w:pPr>
      <w:r w:rsidRPr="00021537">
        <w:rPr>
          <w:kern w:val="2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page">
                  <wp:posOffset>3899535</wp:posOffset>
                </wp:positionH>
                <wp:positionV relativeFrom="paragraph">
                  <wp:posOffset>-1487170</wp:posOffset>
                </wp:positionV>
                <wp:extent cx="1440180" cy="360045"/>
                <wp:effectExtent l="13335" t="8255" r="13335" b="12700"/>
                <wp:wrapNone/>
                <wp:docPr id="17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466" w:rsidRDefault="00EB0BBF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董事長葉景成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首長大名" o:spid="_x0000_s1028" type="#_x0000_t202" style="position:absolute;left:0;text-align:left;margin-left:307.05pt;margin-top:-117.1pt;width:113.4pt;height:28.35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" o:allowincell="f">
                <v:textbox>
                  <w:txbxContent>
                    <w:p w:rsidR="007E7466" w:rsidRDefault="00EB0BBF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董事長葉景成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021537">
        <w:rPr>
          <w:kern w:val="2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page">
                  <wp:posOffset>2464435</wp:posOffset>
                </wp:positionH>
                <wp:positionV relativeFrom="paragraph">
                  <wp:posOffset>-1487170</wp:posOffset>
                </wp:positionV>
                <wp:extent cx="1440180" cy="360045"/>
                <wp:effectExtent l="6985" t="8255" r="10160" b="12700"/>
                <wp:wrapNone/>
                <wp:docPr id="16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466" w:rsidRDefault="007E7466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表格;新聞稿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別" o:spid="_x0000_s1029" type="#_x0000_t202" style="position:absolute;left:0;text-align:left;margin-left:194.05pt;margin-top:-117.1pt;width:113.4pt;height:28.35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" o:allowincell="f">
                <v:textbox>
                  <w:txbxContent>
                    <w:p w:rsidR="007E7466" w:rsidRDefault="007E7466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表格;新聞稿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7E7466" w:rsidRPr="00021537">
        <w:rPr>
          <w:rFonts w:hint="eastAsia"/>
          <w:kern w:val="2"/>
        </w:rPr>
        <w:t>新聞稿內容：</w:t>
      </w:r>
      <w:bookmarkStart w:id="0" w:name="主旨"/>
      <w:bookmarkEnd w:id="0"/>
      <w:r w:rsidR="00F634B1" w:rsidRPr="00021537">
        <w:rPr>
          <w:kern w:val="2"/>
        </w:rPr>
        <w:t>期交所</w:t>
      </w:r>
      <w:r w:rsidR="00725D9F" w:rsidRPr="00021537">
        <w:rPr>
          <w:rFonts w:hint="eastAsia"/>
          <w:kern w:val="2"/>
        </w:rPr>
        <w:t>舉辦</w:t>
      </w:r>
      <w:r w:rsidR="00F634B1" w:rsidRPr="00021537">
        <w:rPr>
          <w:kern w:val="2"/>
        </w:rPr>
        <w:t>10</w:t>
      </w:r>
      <w:r w:rsidR="004B67A0" w:rsidRPr="00021537">
        <w:rPr>
          <w:rFonts w:hint="eastAsia"/>
          <w:kern w:val="2"/>
        </w:rPr>
        <w:t>8</w:t>
      </w:r>
      <w:r w:rsidR="00F634B1" w:rsidRPr="00021537">
        <w:rPr>
          <w:kern w:val="2"/>
        </w:rPr>
        <w:t>年度期貨商負責人座談會</w:t>
      </w:r>
      <w:r w:rsidR="0026696D">
        <w:rPr>
          <w:rFonts w:hint="eastAsia"/>
          <w:kern w:val="2"/>
        </w:rPr>
        <w:t>臺中場</w:t>
      </w:r>
      <w:r w:rsidR="00F634B1" w:rsidRPr="00021537">
        <w:rPr>
          <w:kern w:val="2"/>
        </w:rPr>
        <w:t>並</w:t>
      </w:r>
      <w:r w:rsidR="008D4940" w:rsidRPr="00021537">
        <w:rPr>
          <w:rFonts w:hint="eastAsia"/>
          <w:kern w:val="2"/>
        </w:rPr>
        <w:t>辦理公益捐贈</w:t>
      </w:r>
      <w:r w:rsidR="00981883" w:rsidRPr="00021537">
        <w:rPr>
          <w:rFonts w:hint="eastAsia"/>
          <w:kern w:val="2"/>
        </w:rPr>
        <w:t>予</w:t>
      </w:r>
      <w:r w:rsidR="00687EF0">
        <w:rPr>
          <w:rFonts w:hint="eastAsia"/>
          <w:kern w:val="2"/>
        </w:rPr>
        <w:t>宜蘭縣等</w:t>
      </w:r>
      <w:r w:rsidR="00687EF0">
        <w:rPr>
          <w:rFonts w:hint="eastAsia"/>
          <w:kern w:val="2"/>
        </w:rPr>
        <w:t>15</w:t>
      </w:r>
      <w:r w:rsidR="00687EF0">
        <w:rPr>
          <w:rFonts w:hint="eastAsia"/>
          <w:kern w:val="2"/>
        </w:rPr>
        <w:t>縣市</w:t>
      </w:r>
      <w:r w:rsidR="00981883" w:rsidRPr="00021537">
        <w:rPr>
          <w:rFonts w:hint="eastAsia"/>
          <w:kern w:val="2"/>
        </w:rPr>
        <w:t>消防救難單位</w:t>
      </w:r>
      <w:r w:rsidR="00461C21" w:rsidRPr="00021537">
        <w:rPr>
          <w:rFonts w:hint="eastAsia"/>
          <w:kern w:val="2"/>
        </w:rPr>
        <w:t xml:space="preserve">  </w:t>
      </w:r>
    </w:p>
    <w:p w:rsidR="003C4CD9" w:rsidRPr="00021537" w:rsidRDefault="00375FEE" w:rsidP="000A4B52">
      <w:pPr>
        <w:pStyle w:val="a6"/>
        <w:widowControl w:val="0"/>
        <w:adjustRightInd w:val="0"/>
        <w:spacing w:beforeLines="50" w:before="180" w:afterLines="50" w:after="180" w:line="400" w:lineRule="exact"/>
        <w:ind w:firstLine="480"/>
        <w:jc w:val="both"/>
      </w:pPr>
      <w:r w:rsidRPr="00021537">
        <w:t>臺灣期貨交易所</w:t>
      </w:r>
      <w:r w:rsidRPr="00021537">
        <w:t>1</w:t>
      </w:r>
      <w:r w:rsidR="00DA7B74" w:rsidRPr="00021537">
        <w:rPr>
          <w:rFonts w:hint="eastAsia"/>
        </w:rPr>
        <w:t>1</w:t>
      </w:r>
      <w:r w:rsidRPr="00021537">
        <w:t>月</w:t>
      </w:r>
      <w:r w:rsidR="00DA693E" w:rsidRPr="00021537">
        <w:rPr>
          <w:rFonts w:hint="eastAsia"/>
        </w:rPr>
        <w:t>15</w:t>
      </w:r>
      <w:r w:rsidRPr="00021537">
        <w:t>日</w:t>
      </w:r>
      <w:r w:rsidR="00D45670" w:rsidRPr="00021537">
        <w:rPr>
          <w:rFonts w:hint="eastAsia"/>
        </w:rPr>
        <w:t>於</w:t>
      </w:r>
      <w:r w:rsidR="00CB681B" w:rsidRPr="00021537">
        <w:rPr>
          <w:rFonts w:hint="eastAsia"/>
        </w:rPr>
        <w:t>臺中</w:t>
      </w:r>
      <w:r w:rsidR="00D05AD9">
        <w:rPr>
          <w:rFonts w:hint="eastAsia"/>
        </w:rPr>
        <w:t>市</w:t>
      </w:r>
      <w:r w:rsidRPr="00021537">
        <w:t>舉辦</w:t>
      </w:r>
      <w:r w:rsidR="00DA693E" w:rsidRPr="00021537">
        <w:rPr>
          <w:rFonts w:hint="eastAsia"/>
        </w:rPr>
        <w:t>108</w:t>
      </w:r>
      <w:r w:rsidR="00356B13" w:rsidRPr="00021537">
        <w:rPr>
          <w:rFonts w:hint="eastAsia"/>
        </w:rPr>
        <w:t>年度</w:t>
      </w:r>
      <w:r w:rsidR="00D05AD9">
        <w:rPr>
          <w:rFonts w:hint="eastAsia"/>
        </w:rPr>
        <w:t>中部地區</w:t>
      </w:r>
      <w:r w:rsidRPr="00021537">
        <w:t>「期貨商負責人座談會」，會議由期交所</w:t>
      </w:r>
      <w:r w:rsidR="00363422">
        <w:rPr>
          <w:rFonts w:hint="eastAsia"/>
        </w:rPr>
        <w:t>總經理黃炳鈞</w:t>
      </w:r>
      <w:r w:rsidRPr="00021537">
        <w:t>親自主持。</w:t>
      </w:r>
      <w:r w:rsidR="00DA693E" w:rsidRPr="00021537">
        <w:rPr>
          <w:rFonts w:hint="eastAsia"/>
        </w:rPr>
        <w:t>繼</w:t>
      </w:r>
      <w:r w:rsidRPr="00021537">
        <w:t>期交所</w:t>
      </w:r>
      <w:r w:rsidR="00D45670" w:rsidRPr="00021537">
        <w:rPr>
          <w:rFonts w:hint="eastAsia"/>
        </w:rPr>
        <w:t>日前</w:t>
      </w:r>
      <w:r w:rsidR="00356B13" w:rsidRPr="00021537">
        <w:rPr>
          <w:rFonts w:hint="eastAsia"/>
        </w:rPr>
        <w:t>於</w:t>
      </w:r>
      <w:r w:rsidR="00DA693E" w:rsidRPr="00021537">
        <w:rPr>
          <w:rFonts w:hint="eastAsia"/>
        </w:rPr>
        <w:t>11</w:t>
      </w:r>
      <w:r w:rsidR="00DA693E" w:rsidRPr="00021537">
        <w:rPr>
          <w:rFonts w:hint="eastAsia"/>
        </w:rPr>
        <w:t>月</w:t>
      </w:r>
      <w:r w:rsidR="00DA693E" w:rsidRPr="00021537">
        <w:rPr>
          <w:rFonts w:hint="eastAsia"/>
        </w:rPr>
        <w:t>12</w:t>
      </w:r>
      <w:r w:rsidR="00DA693E" w:rsidRPr="00021537">
        <w:rPr>
          <w:rFonts w:hint="eastAsia"/>
        </w:rPr>
        <w:t>日</w:t>
      </w:r>
      <w:r w:rsidR="00356B13" w:rsidRPr="00021537">
        <w:rPr>
          <w:rFonts w:hint="eastAsia"/>
        </w:rPr>
        <w:t>舉辦</w:t>
      </w:r>
      <w:r w:rsidR="0026696D" w:rsidRPr="00021537">
        <w:t>期貨商負責人座談會</w:t>
      </w:r>
      <w:r w:rsidR="0026696D">
        <w:rPr>
          <w:rFonts w:hint="eastAsia"/>
        </w:rPr>
        <w:t>臺北場及</w:t>
      </w:r>
      <w:r w:rsidR="00560BA8" w:rsidRPr="00021537">
        <w:rPr>
          <w:rFonts w:hint="eastAsia"/>
        </w:rPr>
        <w:t>第</w:t>
      </w:r>
      <w:r w:rsidR="00DA693E" w:rsidRPr="00021537">
        <w:rPr>
          <w:rFonts w:hint="eastAsia"/>
        </w:rPr>
        <w:t>5</w:t>
      </w:r>
      <w:r w:rsidR="00560BA8" w:rsidRPr="00021537">
        <w:rPr>
          <w:rFonts w:hint="eastAsia"/>
        </w:rPr>
        <w:t>屆</w:t>
      </w:r>
      <w:r w:rsidR="00560BA8" w:rsidRPr="00021537">
        <w:t>期貨鑽石獎</w:t>
      </w:r>
      <w:r w:rsidR="00356B13" w:rsidRPr="00021537">
        <w:rPr>
          <w:rFonts w:hint="eastAsia"/>
        </w:rPr>
        <w:t>，</w:t>
      </w:r>
      <w:r w:rsidR="001F7648" w:rsidRPr="00021537">
        <w:rPr>
          <w:rFonts w:hint="eastAsia"/>
        </w:rPr>
        <w:t>再度</w:t>
      </w:r>
      <w:r w:rsidRPr="00021537">
        <w:t>邀請</w:t>
      </w:r>
      <w:r w:rsidR="00DA693E" w:rsidRPr="00021537">
        <w:rPr>
          <w:rFonts w:hint="eastAsia"/>
        </w:rPr>
        <w:t>中</w:t>
      </w:r>
      <w:r w:rsidR="003C4CD9" w:rsidRPr="00021537">
        <w:rPr>
          <w:rFonts w:hint="eastAsia"/>
        </w:rPr>
        <w:t>部地區</w:t>
      </w:r>
      <w:r w:rsidRPr="00021537">
        <w:t>期貨商及證券商經營期貨交易輔助業務負責人及經理人</w:t>
      </w:r>
      <w:r w:rsidR="003C4CD9" w:rsidRPr="00021537">
        <w:rPr>
          <w:rFonts w:hint="eastAsia"/>
        </w:rPr>
        <w:t>，</w:t>
      </w:r>
      <w:r w:rsidRPr="00021537">
        <w:t>共同</w:t>
      </w:r>
      <w:r w:rsidR="00363422">
        <w:rPr>
          <w:rFonts w:hint="eastAsia"/>
        </w:rPr>
        <w:t>交流</w:t>
      </w:r>
      <w:r w:rsidR="00125DD0" w:rsidRPr="00021537">
        <w:rPr>
          <w:rFonts w:hint="eastAsia"/>
        </w:rPr>
        <w:t>討論促進臺灣期貨市場發展策略</w:t>
      </w:r>
      <w:r w:rsidR="003C4CD9" w:rsidRPr="00021537">
        <w:rPr>
          <w:rFonts w:hint="eastAsia"/>
        </w:rPr>
        <w:t>。</w:t>
      </w:r>
    </w:p>
    <w:p w:rsidR="00822EC8" w:rsidRPr="00021537" w:rsidRDefault="00444C29" w:rsidP="0038315D">
      <w:pPr>
        <w:pStyle w:val="a6"/>
        <w:adjustRightInd w:val="0"/>
        <w:spacing w:beforeLines="50" w:before="180" w:afterLines="50" w:after="180" w:line="400" w:lineRule="exact"/>
        <w:ind w:firstLine="480"/>
        <w:jc w:val="both"/>
      </w:pPr>
      <w:r w:rsidRPr="00021537">
        <w:rPr>
          <w:rFonts w:hint="eastAsia"/>
        </w:rPr>
        <w:t>期交所於</w:t>
      </w:r>
      <w:r w:rsidR="00B90BBC" w:rsidRPr="00021537">
        <w:rPr>
          <w:rFonts w:hint="eastAsia"/>
        </w:rPr>
        <w:t>座談會中，</w:t>
      </w:r>
      <w:r w:rsidR="000F6DC5">
        <w:rPr>
          <w:rFonts w:hint="eastAsia"/>
        </w:rPr>
        <w:t>向與會人士</w:t>
      </w:r>
      <w:r w:rsidRPr="00021537">
        <w:rPr>
          <w:rFonts w:hint="eastAsia"/>
        </w:rPr>
        <w:t>介紹今</w:t>
      </w:r>
      <w:r w:rsidR="00B90BBC" w:rsidRPr="00021537">
        <w:rPr>
          <w:rFonts w:hint="eastAsia"/>
        </w:rPr>
        <w:t>年</w:t>
      </w:r>
      <w:r w:rsidRPr="00021537">
        <w:rPr>
          <w:rFonts w:hint="eastAsia"/>
        </w:rPr>
        <w:t>度上市</w:t>
      </w:r>
      <w:r w:rsidR="00B90BBC" w:rsidRPr="00021537">
        <w:rPr>
          <w:rFonts w:hint="eastAsia"/>
        </w:rPr>
        <w:t>商品及</w:t>
      </w:r>
      <w:r w:rsidRPr="00021537">
        <w:rPr>
          <w:rFonts w:hint="eastAsia"/>
        </w:rPr>
        <w:t>交易</w:t>
      </w:r>
      <w:r w:rsidR="00B90BBC" w:rsidRPr="00021537">
        <w:rPr>
          <w:rFonts w:hint="eastAsia"/>
        </w:rPr>
        <w:t>制度，</w:t>
      </w:r>
      <w:r w:rsidRPr="00021537">
        <w:rPr>
          <w:rFonts w:hint="eastAsia"/>
        </w:rPr>
        <w:t>上市商品</w:t>
      </w:r>
      <w:r w:rsidR="00B90BBC" w:rsidRPr="00021537">
        <w:rPr>
          <w:rFonts w:hint="eastAsia"/>
        </w:rPr>
        <w:t>包</w:t>
      </w:r>
      <w:r w:rsidRPr="00021537">
        <w:rPr>
          <w:rFonts w:hint="eastAsia"/>
        </w:rPr>
        <w:t>括</w:t>
      </w:r>
      <w:r w:rsidR="00B90BBC" w:rsidRPr="00021537">
        <w:rPr>
          <w:rFonts w:hint="eastAsia"/>
        </w:rPr>
        <w:t>10</w:t>
      </w:r>
      <w:r w:rsidR="00B90BBC" w:rsidRPr="00021537">
        <w:rPr>
          <w:rFonts w:hint="eastAsia"/>
        </w:rPr>
        <w:t>月</w:t>
      </w:r>
      <w:r w:rsidR="00725FA9">
        <w:rPr>
          <w:rFonts w:hint="eastAsia"/>
        </w:rPr>
        <w:t>1</w:t>
      </w:r>
      <w:r w:rsidR="00725FA9">
        <w:rPr>
          <w:rFonts w:hint="eastAsia"/>
        </w:rPr>
        <w:t>日</w:t>
      </w:r>
      <w:r w:rsidR="00B90BBC" w:rsidRPr="00021537">
        <w:rPr>
          <w:rFonts w:hint="eastAsia"/>
        </w:rPr>
        <w:t>上市美國那斯達克</w:t>
      </w:r>
      <w:r w:rsidR="00B90BBC" w:rsidRPr="00021537">
        <w:rPr>
          <w:rFonts w:hint="eastAsia"/>
        </w:rPr>
        <w:t>100</w:t>
      </w:r>
      <w:r w:rsidR="00B90BBC" w:rsidRPr="00021537">
        <w:rPr>
          <w:rFonts w:hint="eastAsia"/>
        </w:rPr>
        <w:t>期貨及櫃買富櫃</w:t>
      </w:r>
      <w:r w:rsidR="00B90BBC" w:rsidRPr="00021537">
        <w:rPr>
          <w:rFonts w:hint="eastAsia"/>
        </w:rPr>
        <w:t>200</w:t>
      </w:r>
      <w:r w:rsidR="00B90BBC" w:rsidRPr="00021537">
        <w:rPr>
          <w:rFonts w:hint="eastAsia"/>
        </w:rPr>
        <w:t>期貨兩項新商品，</w:t>
      </w:r>
      <w:r w:rsidRPr="00021537">
        <w:rPr>
          <w:rFonts w:hint="eastAsia"/>
        </w:rPr>
        <w:t>同時</w:t>
      </w:r>
      <w:r w:rsidR="0026696D">
        <w:rPr>
          <w:rFonts w:hint="eastAsia"/>
        </w:rPr>
        <w:t>上市掛牌國外指數</w:t>
      </w:r>
      <w:r w:rsidRPr="00021537">
        <w:rPr>
          <w:rFonts w:hint="eastAsia"/>
        </w:rPr>
        <w:t>商品及國內</w:t>
      </w:r>
      <w:r w:rsidR="0026696D">
        <w:rPr>
          <w:rFonts w:hint="eastAsia"/>
        </w:rPr>
        <w:t>指數</w:t>
      </w:r>
      <w:r w:rsidRPr="00021537">
        <w:rPr>
          <w:rFonts w:hint="eastAsia"/>
        </w:rPr>
        <w:t>商品</w:t>
      </w:r>
      <w:r w:rsidR="0026696D">
        <w:rPr>
          <w:rFonts w:hint="eastAsia"/>
        </w:rPr>
        <w:t>以滿足市場交易需求</w:t>
      </w:r>
      <w:r w:rsidRPr="00021537">
        <w:rPr>
          <w:rFonts w:ascii="標楷體" w:hAnsi="標楷體" w:hint="eastAsia"/>
        </w:rPr>
        <w:t>；</w:t>
      </w:r>
      <w:r w:rsidR="00AE4EF0">
        <w:rPr>
          <w:rFonts w:hint="eastAsia"/>
        </w:rPr>
        <w:t>交易制度</w:t>
      </w:r>
      <w:r w:rsidR="0026696D">
        <w:rPr>
          <w:rFonts w:hint="eastAsia"/>
        </w:rPr>
        <w:t>方面</w:t>
      </w:r>
      <w:r w:rsidRPr="00021537">
        <w:rPr>
          <w:rFonts w:hint="eastAsia"/>
        </w:rPr>
        <w:t>介紹</w:t>
      </w:r>
      <w:r w:rsidR="00B90BBC" w:rsidRPr="00021537">
        <w:rPr>
          <w:rFonts w:hint="eastAsia"/>
        </w:rPr>
        <w:t>動態價格穩定措施</w:t>
      </w:r>
      <w:r w:rsidRPr="00021537">
        <w:rPr>
          <w:rFonts w:hint="eastAsia"/>
        </w:rPr>
        <w:t>及</w:t>
      </w:r>
      <w:r w:rsidR="0026696D">
        <w:rPr>
          <w:rFonts w:hint="eastAsia"/>
        </w:rPr>
        <w:t>規劃</w:t>
      </w:r>
      <w:r w:rsidR="00B90BBC" w:rsidRPr="00021537">
        <w:rPr>
          <w:rFonts w:hint="eastAsia"/>
        </w:rPr>
        <w:t>逐筆行情揭示服務等</w:t>
      </w:r>
      <w:r w:rsidR="002F0467">
        <w:rPr>
          <w:rFonts w:hint="eastAsia"/>
        </w:rPr>
        <w:t>新</w:t>
      </w:r>
      <w:r w:rsidR="00B90BBC" w:rsidRPr="00021537">
        <w:rPr>
          <w:rFonts w:hint="eastAsia"/>
        </w:rPr>
        <w:t>制度</w:t>
      </w:r>
      <w:r w:rsidR="006C54E1" w:rsidRPr="00021537">
        <w:rPr>
          <w:rFonts w:ascii="新細明體" w:eastAsia="新細明體" w:hAnsi="新細明體" w:hint="eastAsia"/>
        </w:rPr>
        <w:t>，</w:t>
      </w:r>
      <w:r w:rsidR="006C54E1" w:rsidRPr="00021537">
        <w:rPr>
          <w:rFonts w:hint="eastAsia"/>
        </w:rPr>
        <w:t>以</w:t>
      </w:r>
      <w:r w:rsidR="0026696D">
        <w:rPr>
          <w:rFonts w:hint="eastAsia"/>
        </w:rPr>
        <w:t>持續強化交易機制</w:t>
      </w:r>
      <w:r w:rsidR="00D05AD9">
        <w:rPr>
          <w:rFonts w:hint="eastAsia"/>
        </w:rPr>
        <w:t>並</w:t>
      </w:r>
      <w:r w:rsidR="006C54E1" w:rsidRPr="00021537">
        <w:rPr>
          <w:rFonts w:hint="eastAsia"/>
        </w:rPr>
        <w:t>與國際</w:t>
      </w:r>
      <w:r w:rsidR="00081AAF" w:rsidRPr="00021537">
        <w:rPr>
          <w:rFonts w:hint="eastAsia"/>
        </w:rPr>
        <w:t>趨勢</w:t>
      </w:r>
      <w:r w:rsidR="006C54E1" w:rsidRPr="00021537">
        <w:rPr>
          <w:rFonts w:hint="eastAsia"/>
        </w:rPr>
        <w:t>接軌</w:t>
      </w:r>
      <w:r w:rsidR="00B90BBC" w:rsidRPr="00021537">
        <w:rPr>
          <w:rFonts w:ascii="標楷體" w:hAnsi="標楷體" w:hint="eastAsia"/>
        </w:rPr>
        <w:t>。</w:t>
      </w:r>
      <w:r w:rsidR="00CD5B8F" w:rsidRPr="00021537">
        <w:t>近年來期交所積極推動新商品</w:t>
      </w:r>
      <w:r w:rsidR="00325933" w:rsidRPr="00021537">
        <w:rPr>
          <w:rFonts w:hint="eastAsia"/>
        </w:rPr>
        <w:t>上市</w:t>
      </w:r>
      <w:r w:rsidR="00387CBE" w:rsidRPr="00021537">
        <w:rPr>
          <w:rFonts w:hint="eastAsia"/>
        </w:rPr>
        <w:t>及</w:t>
      </w:r>
      <w:r w:rsidR="00D05AD9" w:rsidRPr="00021537">
        <w:rPr>
          <w:rFonts w:hint="eastAsia"/>
        </w:rPr>
        <w:t>實施</w:t>
      </w:r>
      <w:r w:rsidR="0026696D">
        <w:rPr>
          <w:rFonts w:hint="eastAsia"/>
        </w:rPr>
        <w:t>多項風控</w:t>
      </w:r>
      <w:r w:rsidR="00CD5B8F" w:rsidRPr="00021537">
        <w:t>新制，</w:t>
      </w:r>
      <w:r w:rsidR="0038315D" w:rsidRPr="00021537">
        <w:rPr>
          <w:rFonts w:hint="eastAsia"/>
        </w:rPr>
        <w:t>未來期交所將持續</w:t>
      </w:r>
      <w:r w:rsidR="0026696D">
        <w:rPr>
          <w:rFonts w:hint="eastAsia"/>
        </w:rPr>
        <w:t>觀察</w:t>
      </w:r>
      <w:r w:rsidR="0038315D" w:rsidRPr="00021537">
        <w:rPr>
          <w:rFonts w:hint="eastAsia"/>
        </w:rPr>
        <w:t>市場</w:t>
      </w:r>
      <w:r w:rsidR="00E67C9E" w:rsidRPr="00021537">
        <w:rPr>
          <w:rFonts w:hint="eastAsia"/>
        </w:rPr>
        <w:t>趨勢</w:t>
      </w:r>
      <w:r w:rsidR="0038315D" w:rsidRPr="00021537">
        <w:rPr>
          <w:rFonts w:hint="eastAsia"/>
        </w:rPr>
        <w:t>，</w:t>
      </w:r>
      <w:r w:rsidR="0026696D">
        <w:rPr>
          <w:rFonts w:hint="eastAsia"/>
        </w:rPr>
        <w:t>適時推出新商品並強化交易機制</w:t>
      </w:r>
      <w:r w:rsidR="0038315D" w:rsidRPr="00021537">
        <w:rPr>
          <w:rFonts w:hint="eastAsia"/>
        </w:rPr>
        <w:t>，</w:t>
      </w:r>
      <w:r w:rsidR="00176252" w:rsidRPr="00021537">
        <w:rPr>
          <w:rFonts w:hint="eastAsia"/>
        </w:rPr>
        <w:t>推動</w:t>
      </w:r>
      <w:r w:rsidR="0007280B" w:rsidRPr="00021537">
        <w:t>期貨市場</w:t>
      </w:r>
      <w:r w:rsidR="0007280B" w:rsidRPr="00021537">
        <w:rPr>
          <w:rFonts w:hint="eastAsia"/>
        </w:rPr>
        <w:t>發展及提升服務</w:t>
      </w:r>
      <w:r w:rsidR="0026696D">
        <w:rPr>
          <w:rFonts w:hint="eastAsia"/>
        </w:rPr>
        <w:t>品質</w:t>
      </w:r>
      <w:r w:rsidR="00375FEE" w:rsidRPr="00021537">
        <w:t>。</w:t>
      </w:r>
    </w:p>
    <w:p w:rsidR="00F75AC8" w:rsidRPr="00021537" w:rsidRDefault="00F75AC8" w:rsidP="00F75AC8">
      <w:pPr>
        <w:pStyle w:val="a6"/>
        <w:spacing w:beforeLines="50" w:before="180" w:afterLines="50" w:after="180" w:line="400" w:lineRule="exact"/>
        <w:ind w:firstLine="480"/>
      </w:pPr>
      <w:r w:rsidRPr="00021537">
        <w:rPr>
          <w:rFonts w:hint="eastAsia"/>
        </w:rPr>
        <w:t>期交所為</w:t>
      </w:r>
      <w:r w:rsidR="0026696D">
        <w:rPr>
          <w:rFonts w:hint="eastAsia"/>
        </w:rPr>
        <w:t>發揮企業社會責任</w:t>
      </w:r>
      <w:r w:rsidR="0026696D" w:rsidRPr="0026696D">
        <w:rPr>
          <w:rFonts w:hint="eastAsia"/>
        </w:rPr>
        <w:t>，</w:t>
      </w:r>
      <w:r w:rsidRPr="00021537">
        <w:rPr>
          <w:rFonts w:hint="eastAsia"/>
        </w:rPr>
        <w:t>持續</w:t>
      </w:r>
      <w:r w:rsidR="0026696D">
        <w:rPr>
          <w:rFonts w:hint="eastAsia"/>
        </w:rPr>
        <w:t>關注</w:t>
      </w:r>
      <w:r w:rsidRPr="00021537">
        <w:rPr>
          <w:rFonts w:hint="eastAsia"/>
        </w:rPr>
        <w:t>各縣市政府急救體系，</w:t>
      </w:r>
      <w:r w:rsidR="0026696D" w:rsidRPr="00021537">
        <w:t>107</w:t>
      </w:r>
      <w:r w:rsidR="0026696D" w:rsidRPr="00021537">
        <w:rPr>
          <w:rFonts w:hint="eastAsia"/>
        </w:rPr>
        <w:t>年首度捐贈</w:t>
      </w:r>
      <w:r w:rsidR="0026696D" w:rsidRPr="00021537">
        <w:t>7</w:t>
      </w:r>
      <w:r w:rsidR="0026696D" w:rsidRPr="00021537">
        <w:rPr>
          <w:rFonts w:hint="eastAsia"/>
        </w:rPr>
        <w:t>個縣</w:t>
      </w:r>
      <w:r w:rsidR="0026696D" w:rsidRPr="00021537">
        <w:t>(</w:t>
      </w:r>
      <w:r w:rsidR="0026696D" w:rsidRPr="00021537">
        <w:rPr>
          <w:rFonts w:hint="eastAsia"/>
        </w:rPr>
        <w:t>市</w:t>
      </w:r>
      <w:r w:rsidR="0026696D" w:rsidRPr="00021537">
        <w:t>)</w:t>
      </w:r>
      <w:r w:rsidR="0026696D" w:rsidRPr="00021537">
        <w:rPr>
          <w:rFonts w:hint="eastAsia"/>
        </w:rPr>
        <w:t>消防局共</w:t>
      </w:r>
      <w:r w:rsidR="0026696D" w:rsidRPr="00021537">
        <w:t>7</w:t>
      </w:r>
      <w:r w:rsidR="0026696D" w:rsidRPr="00021537">
        <w:rPr>
          <w:rFonts w:hint="eastAsia"/>
        </w:rPr>
        <w:t>台最新型自動心肺復甦機，於</w:t>
      </w:r>
      <w:r w:rsidR="0026696D" w:rsidRPr="00021537">
        <w:t>108</w:t>
      </w:r>
      <w:r w:rsidR="0026696D" w:rsidRPr="00021537">
        <w:rPr>
          <w:rFonts w:hint="eastAsia"/>
        </w:rPr>
        <w:t>年上半年成功挽救</w:t>
      </w:r>
      <w:r w:rsidR="0026696D" w:rsidRPr="00021537">
        <w:t>10</w:t>
      </w:r>
      <w:r w:rsidR="0026696D" w:rsidRPr="00021537">
        <w:rPr>
          <w:rFonts w:hint="eastAsia"/>
        </w:rPr>
        <w:t>位民眾的生命，確實發揮救護效果</w:t>
      </w:r>
      <w:r w:rsidR="0026696D">
        <w:rPr>
          <w:rFonts w:ascii="新細明體" w:eastAsia="新細明體" w:hAnsi="新細明體" w:hint="eastAsia"/>
        </w:rPr>
        <w:t>，</w:t>
      </w:r>
      <w:r w:rsidR="0026696D" w:rsidRPr="0026696D">
        <w:rPr>
          <w:rFonts w:hint="eastAsia"/>
        </w:rPr>
        <w:t>再於</w:t>
      </w:r>
      <w:r w:rsidRPr="00021537">
        <w:t>108</w:t>
      </w:r>
      <w:r w:rsidRPr="00021537">
        <w:rPr>
          <w:rFonts w:hint="eastAsia"/>
        </w:rPr>
        <w:t>年捐贈</w:t>
      </w:r>
      <w:r w:rsidR="00725FA9" w:rsidRPr="00021537">
        <w:rPr>
          <w:rFonts w:hint="eastAsia"/>
        </w:rPr>
        <w:t>宜蘭縣</w:t>
      </w:r>
      <w:r w:rsidR="00725FA9" w:rsidRPr="00725FA9">
        <w:rPr>
          <w:rFonts w:hint="eastAsia"/>
        </w:rPr>
        <w:t>、</w:t>
      </w:r>
      <w:r w:rsidRPr="00021537">
        <w:rPr>
          <w:rFonts w:hint="eastAsia"/>
        </w:rPr>
        <w:t>基隆市、新北市、新竹市、苗栗縣、臺中市、彰化縣、南投縣、雲林縣、嘉義縣、嘉義市、臺南市、高雄市、屏東縣及金門縣等</w:t>
      </w:r>
      <w:r w:rsidRPr="00021537">
        <w:t>15</w:t>
      </w:r>
      <w:r w:rsidRPr="00021537">
        <w:rPr>
          <w:rFonts w:hint="eastAsia"/>
        </w:rPr>
        <w:t>個縣</w:t>
      </w:r>
      <w:r w:rsidRPr="00021537">
        <w:t>(</w:t>
      </w:r>
      <w:r w:rsidRPr="00021537">
        <w:rPr>
          <w:rFonts w:hint="eastAsia"/>
        </w:rPr>
        <w:t>市</w:t>
      </w:r>
      <w:r w:rsidRPr="00021537">
        <w:t>)</w:t>
      </w:r>
      <w:r w:rsidRPr="00021537">
        <w:rPr>
          <w:rFonts w:hint="eastAsia"/>
        </w:rPr>
        <w:t>消防局各</w:t>
      </w:r>
      <w:r w:rsidRPr="00021537">
        <w:t>1</w:t>
      </w:r>
      <w:r w:rsidRPr="00021537">
        <w:rPr>
          <w:rFonts w:hint="eastAsia"/>
        </w:rPr>
        <w:t>台自動心肺復甦機，</w:t>
      </w:r>
      <w:r w:rsidR="00DD7F3D">
        <w:rPr>
          <w:rFonts w:hint="eastAsia"/>
        </w:rPr>
        <w:t>同時</w:t>
      </w:r>
      <w:r w:rsidRPr="00021537">
        <w:rPr>
          <w:rFonts w:hint="eastAsia"/>
        </w:rPr>
        <w:t>於</w:t>
      </w:r>
      <w:r w:rsidR="00F82E77">
        <w:rPr>
          <w:rFonts w:hint="eastAsia"/>
        </w:rPr>
        <w:t>臺中場</w:t>
      </w:r>
      <w:r w:rsidRPr="00021537">
        <w:rPr>
          <w:rFonts w:hint="eastAsia"/>
        </w:rPr>
        <w:t>座談會後辦理簡單隆重的捐贈儀式</w:t>
      </w:r>
      <w:r w:rsidR="00F82E77">
        <w:rPr>
          <w:rFonts w:ascii="新細明體" w:eastAsia="新細明體" w:hAnsi="新細明體" w:hint="eastAsia"/>
        </w:rPr>
        <w:t>，</w:t>
      </w:r>
      <w:r w:rsidR="00F82E77">
        <w:rPr>
          <w:rFonts w:hint="eastAsia"/>
        </w:rPr>
        <w:t>期交所</w:t>
      </w:r>
      <w:r w:rsidRPr="00021537">
        <w:rPr>
          <w:rFonts w:hint="eastAsia"/>
        </w:rPr>
        <w:t>連續</w:t>
      </w:r>
      <w:r w:rsidRPr="00021537">
        <w:t>2</w:t>
      </w:r>
      <w:r w:rsidRPr="00021537">
        <w:rPr>
          <w:rFonts w:hint="eastAsia"/>
        </w:rPr>
        <w:t>年共捐出</w:t>
      </w:r>
      <w:r w:rsidRPr="00021537">
        <w:t>22</w:t>
      </w:r>
      <w:r w:rsidRPr="00021537">
        <w:rPr>
          <w:rFonts w:hint="eastAsia"/>
        </w:rPr>
        <w:t>台自動心肺復甦機，希望能加強守護民眾生命安全。</w:t>
      </w:r>
    </w:p>
    <w:p w:rsidR="00375FEE" w:rsidRDefault="00DD7F3D" w:rsidP="00F75AC8">
      <w:pPr>
        <w:pStyle w:val="a6"/>
        <w:adjustRightInd w:val="0"/>
        <w:spacing w:beforeLines="50" w:before="180" w:afterLines="50" w:after="180" w:line="400" w:lineRule="exact"/>
        <w:ind w:firstLine="480"/>
        <w:jc w:val="both"/>
      </w:pPr>
      <w:r>
        <w:rPr>
          <w:rFonts w:hint="eastAsia"/>
        </w:rPr>
        <w:t>此外</w:t>
      </w:r>
      <w:r>
        <w:rPr>
          <w:rFonts w:ascii="新細明體" w:eastAsia="新細明體" w:hAnsi="新細明體" w:hint="eastAsia"/>
        </w:rPr>
        <w:t>，</w:t>
      </w:r>
      <w:r w:rsidR="00F75AC8" w:rsidRPr="00021537">
        <w:rPr>
          <w:rFonts w:hint="eastAsia"/>
        </w:rPr>
        <w:t>期交所</w:t>
      </w:r>
      <w:r w:rsidR="0026696D">
        <w:rPr>
          <w:rFonts w:hint="eastAsia"/>
        </w:rPr>
        <w:t>為</w:t>
      </w:r>
      <w:r w:rsidR="00F75AC8" w:rsidRPr="00021537">
        <w:rPr>
          <w:rFonts w:hint="eastAsia"/>
        </w:rPr>
        <w:t>以實際行動支持視障朋友展現才藝，特別在本次座談會邀請臺中當地視障團體「黑墨鏡樂團」進行表演，樂團成員們因視覺障礙只能仰賴聽覺、觸覺及點字譜學習音樂實不容易，現場精彩表演更獲得廣大迴響與肯定。未來，期交所將再接再厲辦理公益活動，期望透過關懷弱勢族群，讓社會</w:t>
      </w:r>
      <w:bookmarkStart w:id="1" w:name="_GoBack"/>
      <w:bookmarkEnd w:id="1"/>
      <w:r w:rsidR="00F75AC8" w:rsidRPr="00021537">
        <w:rPr>
          <w:rFonts w:hint="eastAsia"/>
        </w:rPr>
        <w:t>更</w:t>
      </w:r>
      <w:r w:rsidR="00363422">
        <w:rPr>
          <w:rFonts w:hint="eastAsia"/>
        </w:rPr>
        <w:t>充滿</w:t>
      </w:r>
      <w:r w:rsidR="00F75AC8" w:rsidRPr="00021537">
        <w:rPr>
          <w:rFonts w:hint="eastAsia"/>
        </w:rPr>
        <w:t>溫暖和諧。</w:t>
      </w:r>
    </w:p>
    <w:sectPr w:rsidR="00375FEE" w:rsidSect="007428D4">
      <w:pgSz w:w="11906" w:h="16838"/>
      <w:pgMar w:top="1418" w:right="1700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F4" w:rsidRDefault="009647F4">
      <w:r>
        <w:separator/>
      </w:r>
    </w:p>
  </w:endnote>
  <w:endnote w:type="continuationSeparator" w:id="0">
    <w:p w:rsidR="009647F4" w:rsidRDefault="0096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F4" w:rsidRDefault="009647F4">
      <w:r>
        <w:separator/>
      </w:r>
    </w:p>
  </w:footnote>
  <w:footnote w:type="continuationSeparator" w:id="0">
    <w:p w:rsidR="009647F4" w:rsidRDefault="0096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EC8"/>
    <w:multiLevelType w:val="hybridMultilevel"/>
    <w:tmpl w:val="8F2E6C0A"/>
    <w:lvl w:ilvl="0" w:tplc="B184B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Ansi="Times New Roman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Times New Roman" w:eastAsia="標楷體" w:hAnsi="Times New Roman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Times New Roman" w:eastAsia="標楷體" w:hAnsi="Times New Roman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wDocFlag" w:val="93newdoc"/>
    <w:docVar w:name="SaveDraftToDoc" w:val="0"/>
    <w:docVar w:name="SaveStatus" w:val="0"/>
  </w:docVars>
  <w:rsids>
    <w:rsidRoot w:val="00EB0BBF"/>
    <w:rsid w:val="000042C8"/>
    <w:rsid w:val="00004DF4"/>
    <w:rsid w:val="00006F6B"/>
    <w:rsid w:val="00021537"/>
    <w:rsid w:val="00034380"/>
    <w:rsid w:val="0004593B"/>
    <w:rsid w:val="000507BD"/>
    <w:rsid w:val="00055439"/>
    <w:rsid w:val="0007280B"/>
    <w:rsid w:val="00081AAF"/>
    <w:rsid w:val="00085D1A"/>
    <w:rsid w:val="000A4B52"/>
    <w:rsid w:val="000F52E8"/>
    <w:rsid w:val="000F6DC5"/>
    <w:rsid w:val="0012245F"/>
    <w:rsid w:val="00124E2D"/>
    <w:rsid w:val="00125DD0"/>
    <w:rsid w:val="0013708D"/>
    <w:rsid w:val="001475E5"/>
    <w:rsid w:val="001560E7"/>
    <w:rsid w:val="001611F5"/>
    <w:rsid w:val="00176252"/>
    <w:rsid w:val="001917FC"/>
    <w:rsid w:val="001F12EF"/>
    <w:rsid w:val="001F7648"/>
    <w:rsid w:val="00234185"/>
    <w:rsid w:val="0024031D"/>
    <w:rsid w:val="00241927"/>
    <w:rsid w:val="00255E87"/>
    <w:rsid w:val="00256B85"/>
    <w:rsid w:val="0026696D"/>
    <w:rsid w:val="00266E80"/>
    <w:rsid w:val="00286619"/>
    <w:rsid w:val="0029641B"/>
    <w:rsid w:val="002A2FBA"/>
    <w:rsid w:val="002A6D33"/>
    <w:rsid w:val="002A6E13"/>
    <w:rsid w:val="002E10FE"/>
    <w:rsid w:val="002F0467"/>
    <w:rsid w:val="002F0928"/>
    <w:rsid w:val="00300BEF"/>
    <w:rsid w:val="0032054B"/>
    <w:rsid w:val="00325933"/>
    <w:rsid w:val="003301DB"/>
    <w:rsid w:val="00332DB0"/>
    <w:rsid w:val="00334161"/>
    <w:rsid w:val="00343753"/>
    <w:rsid w:val="003437D6"/>
    <w:rsid w:val="00356B13"/>
    <w:rsid w:val="00363422"/>
    <w:rsid w:val="00370872"/>
    <w:rsid w:val="00373FB2"/>
    <w:rsid w:val="00375FEE"/>
    <w:rsid w:val="0038315D"/>
    <w:rsid w:val="00387CBE"/>
    <w:rsid w:val="003936C5"/>
    <w:rsid w:val="003A142B"/>
    <w:rsid w:val="003C4CD9"/>
    <w:rsid w:val="003C74E0"/>
    <w:rsid w:val="003D7CA7"/>
    <w:rsid w:val="0040013C"/>
    <w:rsid w:val="004037F0"/>
    <w:rsid w:val="00404320"/>
    <w:rsid w:val="004062CA"/>
    <w:rsid w:val="00444C29"/>
    <w:rsid w:val="00461C21"/>
    <w:rsid w:val="00462812"/>
    <w:rsid w:val="0047576E"/>
    <w:rsid w:val="00486B0C"/>
    <w:rsid w:val="004B07E4"/>
    <w:rsid w:val="004B4F79"/>
    <w:rsid w:val="004B67A0"/>
    <w:rsid w:val="004C498C"/>
    <w:rsid w:val="004E42E7"/>
    <w:rsid w:val="00504358"/>
    <w:rsid w:val="00517A1F"/>
    <w:rsid w:val="00534502"/>
    <w:rsid w:val="00560BA8"/>
    <w:rsid w:val="005A725B"/>
    <w:rsid w:val="005C4021"/>
    <w:rsid w:val="00604614"/>
    <w:rsid w:val="006157DE"/>
    <w:rsid w:val="00616FB7"/>
    <w:rsid w:val="00630A01"/>
    <w:rsid w:val="006347A2"/>
    <w:rsid w:val="00635589"/>
    <w:rsid w:val="00650EC0"/>
    <w:rsid w:val="006536AF"/>
    <w:rsid w:val="006539B3"/>
    <w:rsid w:val="00655F02"/>
    <w:rsid w:val="00662E05"/>
    <w:rsid w:val="00664DA5"/>
    <w:rsid w:val="006773AA"/>
    <w:rsid w:val="00680B2E"/>
    <w:rsid w:val="00687EF0"/>
    <w:rsid w:val="006B09D8"/>
    <w:rsid w:val="006B3BC0"/>
    <w:rsid w:val="006C11FF"/>
    <w:rsid w:val="006C54E1"/>
    <w:rsid w:val="006E389D"/>
    <w:rsid w:val="006E6467"/>
    <w:rsid w:val="006F6A18"/>
    <w:rsid w:val="00714222"/>
    <w:rsid w:val="0071774E"/>
    <w:rsid w:val="00725D9F"/>
    <w:rsid w:val="00725FA9"/>
    <w:rsid w:val="00726049"/>
    <w:rsid w:val="007273D3"/>
    <w:rsid w:val="0073051F"/>
    <w:rsid w:val="00735C99"/>
    <w:rsid w:val="007428D4"/>
    <w:rsid w:val="00742FBD"/>
    <w:rsid w:val="00776FB3"/>
    <w:rsid w:val="00780135"/>
    <w:rsid w:val="007967B9"/>
    <w:rsid w:val="00796BA8"/>
    <w:rsid w:val="007A6888"/>
    <w:rsid w:val="007B1CDD"/>
    <w:rsid w:val="007E4AB2"/>
    <w:rsid w:val="007E7466"/>
    <w:rsid w:val="007F476B"/>
    <w:rsid w:val="00815E2C"/>
    <w:rsid w:val="0082242C"/>
    <w:rsid w:val="00822EC8"/>
    <w:rsid w:val="00837125"/>
    <w:rsid w:val="00843AB6"/>
    <w:rsid w:val="008464D5"/>
    <w:rsid w:val="008705AE"/>
    <w:rsid w:val="00872DA2"/>
    <w:rsid w:val="008822F0"/>
    <w:rsid w:val="00891574"/>
    <w:rsid w:val="008B3B80"/>
    <w:rsid w:val="008D4940"/>
    <w:rsid w:val="0094207D"/>
    <w:rsid w:val="0094321A"/>
    <w:rsid w:val="00944224"/>
    <w:rsid w:val="00945917"/>
    <w:rsid w:val="0095489D"/>
    <w:rsid w:val="009576AD"/>
    <w:rsid w:val="009647F4"/>
    <w:rsid w:val="00981883"/>
    <w:rsid w:val="00993DFF"/>
    <w:rsid w:val="00A22388"/>
    <w:rsid w:val="00A45F24"/>
    <w:rsid w:val="00A523CD"/>
    <w:rsid w:val="00A776CE"/>
    <w:rsid w:val="00A80357"/>
    <w:rsid w:val="00A85AF6"/>
    <w:rsid w:val="00AA1BE6"/>
    <w:rsid w:val="00AB5A09"/>
    <w:rsid w:val="00AE4EF0"/>
    <w:rsid w:val="00AE55B4"/>
    <w:rsid w:val="00B1067B"/>
    <w:rsid w:val="00B41843"/>
    <w:rsid w:val="00B4253F"/>
    <w:rsid w:val="00B43C19"/>
    <w:rsid w:val="00B468A4"/>
    <w:rsid w:val="00B51AD0"/>
    <w:rsid w:val="00B7411B"/>
    <w:rsid w:val="00B8318D"/>
    <w:rsid w:val="00B90BBC"/>
    <w:rsid w:val="00BB1BE7"/>
    <w:rsid w:val="00BB3AC1"/>
    <w:rsid w:val="00BC280B"/>
    <w:rsid w:val="00BC6F10"/>
    <w:rsid w:val="00BE3E8A"/>
    <w:rsid w:val="00BF3882"/>
    <w:rsid w:val="00BF7931"/>
    <w:rsid w:val="00C143B8"/>
    <w:rsid w:val="00C166CC"/>
    <w:rsid w:val="00C46FDA"/>
    <w:rsid w:val="00C6342B"/>
    <w:rsid w:val="00C66ABB"/>
    <w:rsid w:val="00CB681B"/>
    <w:rsid w:val="00CD5B8F"/>
    <w:rsid w:val="00CE63F0"/>
    <w:rsid w:val="00CE6B5D"/>
    <w:rsid w:val="00D05AD9"/>
    <w:rsid w:val="00D40AC7"/>
    <w:rsid w:val="00D45670"/>
    <w:rsid w:val="00D46CD4"/>
    <w:rsid w:val="00D53249"/>
    <w:rsid w:val="00D57D15"/>
    <w:rsid w:val="00DA4EEB"/>
    <w:rsid w:val="00DA693E"/>
    <w:rsid w:val="00DA7B74"/>
    <w:rsid w:val="00DB0D69"/>
    <w:rsid w:val="00DD7F3D"/>
    <w:rsid w:val="00DE3A66"/>
    <w:rsid w:val="00DF34A4"/>
    <w:rsid w:val="00E4589B"/>
    <w:rsid w:val="00E67C9E"/>
    <w:rsid w:val="00E702D8"/>
    <w:rsid w:val="00EA7F34"/>
    <w:rsid w:val="00EB0BBF"/>
    <w:rsid w:val="00EC335D"/>
    <w:rsid w:val="00EE4E6C"/>
    <w:rsid w:val="00EF2550"/>
    <w:rsid w:val="00F621D4"/>
    <w:rsid w:val="00F634B1"/>
    <w:rsid w:val="00F75AC8"/>
    <w:rsid w:val="00F82E77"/>
    <w:rsid w:val="00F968BC"/>
    <w:rsid w:val="00FB3C11"/>
    <w:rsid w:val="00FE0283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A74C00-55C9-4490-B630-770382AE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6FB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7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rsid w:val="0077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批示欄位"/>
    <w:basedOn w:val="a0"/>
    <w:rsid w:val="00776FB3"/>
    <w:pPr>
      <w:widowControl/>
      <w:snapToGrid w:val="0"/>
      <w:spacing w:line="480" w:lineRule="exact"/>
    </w:pPr>
    <w:rPr>
      <w:rFonts w:eastAsia="標楷體"/>
      <w:noProof/>
      <w:kern w:val="0"/>
      <w:sz w:val="28"/>
    </w:rPr>
  </w:style>
  <w:style w:type="paragraph" w:customStyle="1" w:styleId="a">
    <w:name w:val="分項段落"/>
    <w:basedOn w:val="a0"/>
    <w:rsid w:val="00776FB3"/>
    <w:pPr>
      <w:widowControl/>
      <w:numPr>
        <w:numId w:val="2"/>
      </w:numPr>
      <w:wordWrap w:val="0"/>
      <w:snapToGrid w:val="0"/>
      <w:jc w:val="both"/>
    </w:pPr>
    <w:rPr>
      <w:rFonts w:eastAsia="標楷體"/>
      <w:noProof/>
      <w:kern w:val="0"/>
      <w:sz w:val="32"/>
    </w:rPr>
  </w:style>
  <w:style w:type="character" w:styleId="a7">
    <w:name w:val="page number"/>
    <w:basedOn w:val="a1"/>
    <w:rsid w:val="00776FB3"/>
    <w:rPr>
      <w:rFonts w:ascii="標楷體" w:eastAsia="標楷體" w:hAnsi="標楷體" w:hint="eastAsia"/>
      <w:sz w:val="20"/>
    </w:rPr>
  </w:style>
  <w:style w:type="paragraph" w:customStyle="1" w:styleId="a8">
    <w:name w:val="公文(承辦單位)"/>
    <w:basedOn w:val="a0"/>
    <w:rsid w:val="00462812"/>
    <w:pPr>
      <w:widowControl/>
      <w:snapToGrid w:val="0"/>
    </w:pPr>
    <w:rPr>
      <w:rFonts w:eastAsia="標楷體"/>
      <w:noProof/>
      <w:kern w:val="0"/>
      <w:szCs w:val="20"/>
    </w:rPr>
  </w:style>
  <w:style w:type="paragraph" w:styleId="a9">
    <w:name w:val="Balloon Text"/>
    <w:basedOn w:val="a0"/>
    <w:link w:val="aa"/>
    <w:semiHidden/>
    <w:unhideWhenUsed/>
    <w:rsid w:val="0074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semiHidden/>
    <w:rsid w:val="007428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3521;&#31119;&#36948;&#20844;&#25991;\&#26032;&#32862;&#3129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新聞稿.dot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Taiwan Futures Exchange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新聞稿</dc:title>
  <dc:creator>TAIFEX</dc:creator>
  <cp:lastModifiedBy>期貨商輔導部-宋裕文</cp:lastModifiedBy>
  <cp:revision>3</cp:revision>
  <cp:lastPrinted>2019-10-31T07:30:00Z</cp:lastPrinted>
  <dcterms:created xsi:type="dcterms:W3CDTF">2019-11-18T01:35:00Z</dcterms:created>
  <dcterms:modified xsi:type="dcterms:W3CDTF">2019-11-18T01:36:00Z</dcterms:modified>
</cp:coreProperties>
</file>