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0"/>
        <w:gridCol w:w="5683"/>
        <w:gridCol w:w="796"/>
        <w:gridCol w:w="1621"/>
      </w:tblGrid>
      <w:tr w:rsidR="005B7484" w:rsidTr="00A00335">
        <w:trPr>
          <w:trHeight w:val="878"/>
        </w:trPr>
        <w:tc>
          <w:tcPr>
            <w:tcW w:w="6583" w:type="dxa"/>
            <w:gridSpan w:val="2"/>
            <w:vAlign w:val="center"/>
          </w:tcPr>
          <w:p w:rsidR="005B7484" w:rsidRDefault="005B7484" w:rsidP="00A00335">
            <w:pPr>
              <w:snapToGrid w:val="0"/>
              <w:spacing w:line="400" w:lineRule="exact"/>
              <w:jc w:val="both"/>
              <w:rPr>
                <w:rFonts w:eastAsia="標楷體"/>
                <w:sz w:val="32"/>
                <w:szCs w:val="32"/>
              </w:rPr>
            </w:pPr>
            <w:r>
              <w:rPr>
                <w:rFonts w:eastAsia="標楷體" w:hint="eastAsia"/>
                <w:sz w:val="32"/>
                <w:szCs w:val="32"/>
              </w:rPr>
              <w:t>臺灣期貨交易所</w:t>
            </w:r>
          </w:p>
          <w:p w:rsidR="005B7484" w:rsidRDefault="005B7484" w:rsidP="007D0E34">
            <w:pPr>
              <w:snapToGrid w:val="0"/>
              <w:spacing w:line="400" w:lineRule="exact"/>
              <w:jc w:val="both"/>
              <w:rPr>
                <w:rFonts w:eastAsia="標楷體"/>
                <w:sz w:val="28"/>
              </w:rPr>
            </w:pPr>
            <w:proofErr w:type="gramStart"/>
            <w:r>
              <w:rPr>
                <w:rFonts w:eastAsia="標楷體"/>
                <w:sz w:val="32"/>
                <w:szCs w:val="32"/>
              </w:rPr>
              <w:t>103</w:t>
            </w:r>
            <w:proofErr w:type="gramEnd"/>
            <w:r>
              <w:rPr>
                <w:rFonts w:eastAsia="標楷體" w:hint="eastAsia"/>
                <w:sz w:val="32"/>
                <w:szCs w:val="32"/>
              </w:rPr>
              <w:t>年度委外研究報告提要表</w:t>
            </w:r>
          </w:p>
        </w:tc>
        <w:tc>
          <w:tcPr>
            <w:tcW w:w="2417" w:type="dxa"/>
            <w:gridSpan w:val="2"/>
          </w:tcPr>
          <w:p w:rsidR="005B7484" w:rsidRDefault="005B7484" w:rsidP="00A00335">
            <w:pPr>
              <w:widowControl/>
              <w:spacing w:line="400" w:lineRule="exact"/>
              <w:rPr>
                <w:rFonts w:eastAsia="標楷體"/>
                <w:sz w:val="28"/>
              </w:rPr>
            </w:pPr>
            <w:r>
              <w:rPr>
                <w:rFonts w:eastAsia="標楷體" w:hint="eastAsia"/>
                <w:sz w:val="28"/>
              </w:rPr>
              <w:t>填表人：劉春堂</w:t>
            </w:r>
          </w:p>
          <w:p w:rsidR="005B7484" w:rsidRDefault="005B7484" w:rsidP="007D0E34">
            <w:pPr>
              <w:snapToGrid w:val="0"/>
              <w:spacing w:line="400" w:lineRule="exact"/>
              <w:rPr>
                <w:rFonts w:eastAsia="標楷體"/>
                <w:sz w:val="28"/>
              </w:rPr>
            </w:pPr>
            <w:r>
              <w:rPr>
                <w:rFonts w:eastAsia="標楷體" w:hint="eastAsia"/>
                <w:sz w:val="28"/>
              </w:rPr>
              <w:t>填表日期：</w:t>
            </w:r>
            <w:r>
              <w:rPr>
                <w:rFonts w:eastAsia="標楷體"/>
                <w:sz w:val="28"/>
              </w:rPr>
              <w:t>104</w:t>
            </w:r>
            <w:r>
              <w:rPr>
                <w:rFonts w:eastAsia="標楷體" w:hint="eastAsia"/>
                <w:sz w:val="28"/>
              </w:rPr>
              <w:t>年</w:t>
            </w:r>
            <w:r>
              <w:rPr>
                <w:rFonts w:eastAsia="標楷體"/>
                <w:sz w:val="28"/>
              </w:rPr>
              <w:t>3</w:t>
            </w:r>
            <w:r>
              <w:rPr>
                <w:rFonts w:eastAsia="標楷體" w:hint="eastAsia"/>
                <w:sz w:val="28"/>
              </w:rPr>
              <w:t>月</w:t>
            </w:r>
            <w:r>
              <w:rPr>
                <w:rFonts w:eastAsia="標楷體"/>
                <w:sz w:val="28"/>
              </w:rPr>
              <w:t>10</w:t>
            </w:r>
            <w:r>
              <w:rPr>
                <w:rFonts w:eastAsia="標楷體" w:hint="eastAsia"/>
                <w:sz w:val="28"/>
              </w:rPr>
              <w:t>日</w:t>
            </w:r>
          </w:p>
        </w:tc>
      </w:tr>
      <w:tr w:rsidR="005B7484" w:rsidTr="00A00335">
        <w:trPr>
          <w:trHeight w:val="643"/>
        </w:trPr>
        <w:tc>
          <w:tcPr>
            <w:tcW w:w="900" w:type="dxa"/>
          </w:tcPr>
          <w:p w:rsidR="005B7484" w:rsidRDefault="005B7484" w:rsidP="00A00335">
            <w:pPr>
              <w:snapToGrid w:val="0"/>
              <w:spacing w:line="400" w:lineRule="exact"/>
              <w:jc w:val="center"/>
              <w:rPr>
                <w:rFonts w:eastAsia="標楷體"/>
                <w:sz w:val="28"/>
              </w:rPr>
            </w:pPr>
            <w:r>
              <w:rPr>
                <w:rFonts w:eastAsia="標楷體" w:hint="eastAsia"/>
                <w:sz w:val="28"/>
              </w:rPr>
              <w:t>研究</w:t>
            </w:r>
          </w:p>
          <w:p w:rsidR="005B7484" w:rsidRDefault="005B7484" w:rsidP="00A00335">
            <w:pPr>
              <w:snapToGrid w:val="0"/>
              <w:spacing w:line="400" w:lineRule="exact"/>
              <w:jc w:val="center"/>
              <w:rPr>
                <w:rFonts w:eastAsia="標楷體"/>
                <w:sz w:val="28"/>
              </w:rPr>
            </w:pPr>
            <w:r>
              <w:rPr>
                <w:rFonts w:eastAsia="標楷體" w:hint="eastAsia"/>
                <w:sz w:val="28"/>
              </w:rPr>
              <w:t>項目</w:t>
            </w:r>
          </w:p>
        </w:tc>
        <w:tc>
          <w:tcPr>
            <w:tcW w:w="8100" w:type="dxa"/>
            <w:gridSpan w:val="3"/>
            <w:vAlign w:val="center"/>
          </w:tcPr>
          <w:p w:rsidR="005B7484" w:rsidRDefault="005B7484" w:rsidP="00A00335">
            <w:pPr>
              <w:widowControl/>
              <w:spacing w:line="360" w:lineRule="exact"/>
              <w:jc w:val="both"/>
              <w:rPr>
                <w:rFonts w:eastAsia="標楷體"/>
                <w:b/>
                <w:sz w:val="28"/>
                <w:szCs w:val="28"/>
              </w:rPr>
            </w:pPr>
            <w:r w:rsidRPr="000936AC">
              <w:rPr>
                <w:rFonts w:eastAsia="標楷體" w:hint="eastAsia"/>
                <w:b/>
                <w:bCs/>
                <w:sz w:val="28"/>
                <w:szCs w:val="28"/>
              </w:rPr>
              <w:t>期貨交易法第</w:t>
            </w:r>
            <w:r w:rsidRPr="000936AC">
              <w:rPr>
                <w:rFonts w:eastAsia="標楷體"/>
                <w:b/>
                <w:bCs/>
                <w:sz w:val="28"/>
                <w:szCs w:val="28"/>
              </w:rPr>
              <w:t>106</w:t>
            </w:r>
            <w:r w:rsidRPr="000936AC">
              <w:rPr>
                <w:rFonts w:eastAsia="標楷體" w:hint="eastAsia"/>
                <w:b/>
                <w:bCs/>
                <w:sz w:val="28"/>
                <w:szCs w:val="28"/>
              </w:rPr>
              <w:t>條各款構成要件與相關法律效果之研究</w:t>
            </w:r>
          </w:p>
        </w:tc>
      </w:tr>
      <w:tr w:rsidR="005B7484" w:rsidTr="00A00335">
        <w:trPr>
          <w:trHeight w:val="1564"/>
        </w:trPr>
        <w:tc>
          <w:tcPr>
            <w:tcW w:w="900" w:type="dxa"/>
            <w:vAlign w:val="center"/>
          </w:tcPr>
          <w:p w:rsidR="005B7484" w:rsidRDefault="005B7484" w:rsidP="00A00335">
            <w:pPr>
              <w:snapToGrid w:val="0"/>
              <w:spacing w:line="360" w:lineRule="exact"/>
              <w:jc w:val="center"/>
              <w:rPr>
                <w:rFonts w:eastAsia="標楷體"/>
                <w:sz w:val="28"/>
              </w:rPr>
            </w:pPr>
            <w:r>
              <w:rPr>
                <w:rFonts w:eastAsia="標楷體" w:hint="eastAsia"/>
                <w:sz w:val="28"/>
              </w:rPr>
              <w:t>研究</w:t>
            </w:r>
          </w:p>
          <w:p w:rsidR="005B7484" w:rsidRDefault="005B7484" w:rsidP="00A00335">
            <w:pPr>
              <w:snapToGrid w:val="0"/>
              <w:spacing w:line="360" w:lineRule="exact"/>
              <w:jc w:val="center"/>
              <w:rPr>
                <w:rFonts w:eastAsia="標楷體"/>
                <w:sz w:val="28"/>
              </w:rPr>
            </w:pPr>
            <w:r>
              <w:rPr>
                <w:rFonts w:eastAsia="標楷體" w:hint="eastAsia"/>
                <w:sz w:val="28"/>
              </w:rPr>
              <w:t>單位</w:t>
            </w:r>
          </w:p>
          <w:p w:rsidR="005B7484" w:rsidRDefault="005B7484" w:rsidP="00A00335">
            <w:pPr>
              <w:snapToGrid w:val="0"/>
              <w:spacing w:line="360" w:lineRule="exact"/>
              <w:jc w:val="center"/>
              <w:rPr>
                <w:rFonts w:eastAsia="標楷體"/>
                <w:sz w:val="28"/>
              </w:rPr>
            </w:pPr>
            <w:r>
              <w:rPr>
                <w:rFonts w:eastAsia="標楷體" w:hint="eastAsia"/>
                <w:sz w:val="28"/>
              </w:rPr>
              <w:t>及人員</w:t>
            </w:r>
          </w:p>
        </w:tc>
        <w:tc>
          <w:tcPr>
            <w:tcW w:w="5683" w:type="dxa"/>
            <w:vAlign w:val="center"/>
          </w:tcPr>
          <w:p w:rsidR="005B7484" w:rsidRPr="007C6A4F" w:rsidRDefault="005B7484" w:rsidP="00A00335">
            <w:pPr>
              <w:widowControl/>
              <w:spacing w:line="360" w:lineRule="exact"/>
              <w:jc w:val="both"/>
              <w:rPr>
                <w:rFonts w:eastAsia="標楷體"/>
                <w:sz w:val="28"/>
                <w:szCs w:val="28"/>
              </w:rPr>
            </w:pPr>
            <w:r w:rsidRPr="007C6A4F">
              <w:rPr>
                <w:rFonts w:eastAsia="標楷體" w:hint="eastAsia"/>
                <w:sz w:val="28"/>
                <w:szCs w:val="28"/>
              </w:rPr>
              <w:t>研究單位：</w:t>
            </w:r>
            <w:r w:rsidRPr="000936AC">
              <w:rPr>
                <w:rFonts w:eastAsia="標楷體" w:hint="eastAsia"/>
                <w:sz w:val="28"/>
                <w:szCs w:val="28"/>
              </w:rPr>
              <w:t>輔仁大學</w:t>
            </w:r>
          </w:p>
          <w:p w:rsidR="005B7484" w:rsidRDefault="005B7484" w:rsidP="00A00335">
            <w:pPr>
              <w:snapToGrid w:val="0"/>
              <w:spacing w:line="240" w:lineRule="atLeast"/>
              <w:rPr>
                <w:rFonts w:eastAsia="標楷體"/>
                <w:sz w:val="28"/>
                <w:szCs w:val="28"/>
              </w:rPr>
            </w:pPr>
            <w:r w:rsidRPr="007C6A4F">
              <w:rPr>
                <w:rFonts w:eastAsia="標楷體" w:hint="eastAsia"/>
                <w:sz w:val="28"/>
                <w:szCs w:val="28"/>
              </w:rPr>
              <w:t>計劃主持人：</w:t>
            </w:r>
            <w:r>
              <w:rPr>
                <w:rFonts w:eastAsia="標楷體" w:hint="eastAsia"/>
                <w:sz w:val="28"/>
                <w:szCs w:val="28"/>
              </w:rPr>
              <w:t>劉春堂</w:t>
            </w:r>
            <w:r>
              <w:rPr>
                <w:rFonts w:eastAsia="標楷體"/>
                <w:sz w:val="28"/>
                <w:szCs w:val="28"/>
              </w:rPr>
              <w:t xml:space="preserve"> </w:t>
            </w:r>
            <w:r>
              <w:rPr>
                <w:rFonts w:eastAsia="標楷體" w:hint="eastAsia"/>
                <w:sz w:val="28"/>
                <w:szCs w:val="28"/>
              </w:rPr>
              <w:t>教授</w:t>
            </w:r>
          </w:p>
          <w:p w:rsidR="005B7484" w:rsidRDefault="005B7484" w:rsidP="00A00335">
            <w:pPr>
              <w:snapToGrid w:val="0"/>
              <w:spacing w:line="240" w:lineRule="atLeast"/>
              <w:rPr>
                <w:rFonts w:eastAsia="標楷體"/>
                <w:sz w:val="28"/>
                <w:szCs w:val="28"/>
              </w:rPr>
            </w:pPr>
            <w:r>
              <w:rPr>
                <w:rFonts w:eastAsia="標楷體" w:hint="eastAsia"/>
                <w:sz w:val="28"/>
                <w:szCs w:val="28"/>
              </w:rPr>
              <w:t>共同</w:t>
            </w:r>
            <w:r w:rsidRPr="007C6A4F">
              <w:rPr>
                <w:rFonts w:eastAsia="標楷體" w:hint="eastAsia"/>
                <w:sz w:val="28"/>
                <w:szCs w:val="28"/>
              </w:rPr>
              <w:t>主持人：</w:t>
            </w:r>
            <w:proofErr w:type="gramStart"/>
            <w:r>
              <w:rPr>
                <w:rFonts w:eastAsia="標楷體" w:hint="eastAsia"/>
                <w:sz w:val="28"/>
                <w:szCs w:val="28"/>
              </w:rPr>
              <w:t>郭</w:t>
            </w:r>
            <w:proofErr w:type="gramEnd"/>
            <w:r>
              <w:rPr>
                <w:rFonts w:eastAsia="標楷體" w:hint="eastAsia"/>
                <w:sz w:val="28"/>
                <w:szCs w:val="28"/>
              </w:rPr>
              <w:t>土木</w:t>
            </w:r>
            <w:r>
              <w:rPr>
                <w:rFonts w:eastAsia="標楷體"/>
                <w:sz w:val="28"/>
                <w:szCs w:val="28"/>
              </w:rPr>
              <w:t xml:space="preserve"> </w:t>
            </w:r>
            <w:r>
              <w:rPr>
                <w:rFonts w:eastAsia="標楷體" w:hint="eastAsia"/>
                <w:sz w:val="28"/>
                <w:szCs w:val="28"/>
              </w:rPr>
              <w:t>教授</w:t>
            </w:r>
          </w:p>
          <w:p w:rsidR="005B7484" w:rsidRPr="007D0E34" w:rsidRDefault="005B7484" w:rsidP="00D316B1">
            <w:pPr>
              <w:snapToGrid w:val="0"/>
              <w:spacing w:line="240" w:lineRule="atLeast"/>
              <w:rPr>
                <w:rFonts w:eastAsia="標楷體"/>
                <w:sz w:val="28"/>
                <w:szCs w:val="28"/>
              </w:rPr>
            </w:pPr>
            <w:r>
              <w:rPr>
                <w:rFonts w:eastAsia="標楷體" w:hint="eastAsia"/>
                <w:sz w:val="28"/>
                <w:szCs w:val="28"/>
              </w:rPr>
              <w:t>共同</w:t>
            </w:r>
            <w:r w:rsidRPr="007C6A4F">
              <w:rPr>
                <w:rFonts w:eastAsia="標楷體" w:hint="eastAsia"/>
                <w:sz w:val="28"/>
                <w:szCs w:val="28"/>
              </w:rPr>
              <w:t>主持人：</w:t>
            </w:r>
            <w:r>
              <w:rPr>
                <w:rFonts w:eastAsia="標楷體" w:hint="eastAsia"/>
                <w:sz w:val="28"/>
                <w:szCs w:val="28"/>
              </w:rPr>
              <w:t>郭大維</w:t>
            </w:r>
            <w:r>
              <w:rPr>
                <w:rFonts w:eastAsia="標楷體"/>
                <w:sz w:val="28"/>
                <w:szCs w:val="28"/>
              </w:rPr>
              <w:t xml:space="preserve"> </w:t>
            </w:r>
            <w:r>
              <w:rPr>
                <w:rFonts w:eastAsia="標楷體" w:hint="eastAsia"/>
                <w:sz w:val="28"/>
                <w:szCs w:val="28"/>
              </w:rPr>
              <w:t>教授</w:t>
            </w:r>
          </w:p>
        </w:tc>
        <w:tc>
          <w:tcPr>
            <w:tcW w:w="796" w:type="dxa"/>
            <w:vAlign w:val="center"/>
          </w:tcPr>
          <w:p w:rsidR="005B7484" w:rsidRDefault="005B7484" w:rsidP="00A00335">
            <w:pPr>
              <w:snapToGrid w:val="0"/>
              <w:spacing w:line="360" w:lineRule="exact"/>
              <w:jc w:val="center"/>
              <w:rPr>
                <w:rFonts w:eastAsia="標楷體"/>
                <w:sz w:val="28"/>
              </w:rPr>
            </w:pPr>
            <w:r>
              <w:rPr>
                <w:rFonts w:eastAsia="標楷體" w:hint="eastAsia"/>
                <w:sz w:val="28"/>
              </w:rPr>
              <w:t>研究</w:t>
            </w:r>
          </w:p>
          <w:p w:rsidR="005B7484" w:rsidRDefault="005B7484" w:rsidP="00A00335">
            <w:pPr>
              <w:snapToGrid w:val="0"/>
              <w:spacing w:line="360" w:lineRule="exact"/>
              <w:jc w:val="center"/>
              <w:rPr>
                <w:rFonts w:eastAsia="標楷體"/>
                <w:sz w:val="28"/>
              </w:rPr>
            </w:pPr>
            <w:r>
              <w:rPr>
                <w:rFonts w:eastAsia="標楷體" w:hint="eastAsia"/>
                <w:sz w:val="28"/>
              </w:rPr>
              <w:t>時間</w:t>
            </w:r>
          </w:p>
        </w:tc>
        <w:tc>
          <w:tcPr>
            <w:tcW w:w="1621" w:type="dxa"/>
            <w:vAlign w:val="center"/>
          </w:tcPr>
          <w:p w:rsidR="005B7484" w:rsidRDefault="005B7484" w:rsidP="000936AC">
            <w:pPr>
              <w:widowControl/>
              <w:spacing w:line="360" w:lineRule="exact"/>
              <w:jc w:val="both"/>
              <w:rPr>
                <w:rFonts w:eastAsia="標楷體"/>
                <w:sz w:val="28"/>
                <w:szCs w:val="32"/>
              </w:rPr>
            </w:pPr>
            <w:r>
              <w:rPr>
                <w:rFonts w:eastAsia="標楷體" w:hint="eastAsia"/>
                <w:sz w:val="28"/>
              </w:rPr>
              <w:t>自</w:t>
            </w:r>
            <w:r>
              <w:rPr>
                <w:rFonts w:eastAsia="標楷體"/>
                <w:sz w:val="28"/>
              </w:rPr>
              <w:t>103</w:t>
            </w:r>
            <w:r>
              <w:rPr>
                <w:rFonts w:eastAsia="標楷體" w:hint="eastAsia"/>
                <w:sz w:val="28"/>
              </w:rPr>
              <w:t>年</w:t>
            </w:r>
            <w:r>
              <w:rPr>
                <w:rFonts w:eastAsia="標楷體"/>
                <w:sz w:val="28"/>
              </w:rPr>
              <w:t>6</w:t>
            </w:r>
            <w:r>
              <w:rPr>
                <w:rFonts w:eastAsia="標楷體" w:hint="eastAsia"/>
                <w:sz w:val="28"/>
              </w:rPr>
              <w:t>月</w:t>
            </w:r>
            <w:r>
              <w:rPr>
                <w:rFonts w:eastAsia="標楷體"/>
                <w:sz w:val="28"/>
              </w:rPr>
              <w:t>15</w:t>
            </w:r>
            <w:r>
              <w:rPr>
                <w:rFonts w:eastAsia="標楷體" w:hint="eastAsia"/>
                <w:sz w:val="28"/>
              </w:rPr>
              <w:t>日至</w:t>
            </w:r>
            <w:r>
              <w:rPr>
                <w:rFonts w:eastAsia="標楷體"/>
                <w:sz w:val="28"/>
              </w:rPr>
              <w:t>104</w:t>
            </w:r>
            <w:r>
              <w:rPr>
                <w:rFonts w:eastAsia="標楷體" w:hint="eastAsia"/>
                <w:sz w:val="28"/>
              </w:rPr>
              <w:t>年</w:t>
            </w:r>
            <w:r>
              <w:rPr>
                <w:rFonts w:eastAsia="標楷體"/>
                <w:sz w:val="28"/>
              </w:rPr>
              <w:t>1</w:t>
            </w:r>
            <w:r>
              <w:rPr>
                <w:rFonts w:eastAsia="標楷體" w:hint="eastAsia"/>
                <w:sz w:val="28"/>
              </w:rPr>
              <w:t>月</w:t>
            </w:r>
            <w:r>
              <w:rPr>
                <w:rFonts w:eastAsia="標楷體"/>
                <w:sz w:val="28"/>
              </w:rPr>
              <w:t>15</w:t>
            </w:r>
            <w:r>
              <w:rPr>
                <w:rFonts w:eastAsia="標楷體" w:hint="eastAsia"/>
                <w:sz w:val="28"/>
              </w:rPr>
              <w:t>日</w:t>
            </w:r>
          </w:p>
        </w:tc>
      </w:tr>
      <w:tr w:rsidR="005B7484" w:rsidTr="00A00335">
        <w:trPr>
          <w:cantSplit/>
        </w:trPr>
        <w:tc>
          <w:tcPr>
            <w:tcW w:w="9000" w:type="dxa"/>
            <w:gridSpan w:val="4"/>
          </w:tcPr>
          <w:p w:rsidR="005B7484" w:rsidRDefault="005B7484" w:rsidP="00A00335">
            <w:pPr>
              <w:snapToGrid w:val="0"/>
              <w:spacing w:line="500" w:lineRule="atLeast"/>
              <w:ind w:rightChars="213" w:right="511" w:firstLineChars="182" w:firstLine="510"/>
              <w:jc w:val="distribute"/>
              <w:rPr>
                <w:rFonts w:eastAsia="標楷體"/>
                <w:sz w:val="28"/>
              </w:rPr>
            </w:pPr>
            <w:r>
              <w:rPr>
                <w:rFonts w:eastAsia="標楷體" w:hint="eastAsia"/>
                <w:sz w:val="28"/>
              </w:rPr>
              <w:t>報告內容提要</w:t>
            </w:r>
          </w:p>
        </w:tc>
      </w:tr>
      <w:tr w:rsidR="005B7484" w:rsidTr="00A00335">
        <w:trPr>
          <w:trHeight w:val="1776"/>
        </w:trPr>
        <w:tc>
          <w:tcPr>
            <w:tcW w:w="9000" w:type="dxa"/>
            <w:gridSpan w:val="4"/>
          </w:tcPr>
          <w:p w:rsidR="005B7484" w:rsidRDefault="005B7484" w:rsidP="00806188">
            <w:pPr>
              <w:adjustRightInd w:val="0"/>
              <w:snapToGrid w:val="0"/>
              <w:spacing w:line="360" w:lineRule="auto"/>
              <w:ind w:firstLineChars="17" w:firstLine="48"/>
              <w:jc w:val="both"/>
              <w:rPr>
                <w:rFonts w:eastAsia="標楷體" w:hAnsi="標楷體"/>
                <w:sz w:val="28"/>
              </w:rPr>
            </w:pPr>
            <w:r>
              <w:rPr>
                <w:rFonts w:eastAsia="標楷體" w:hAnsi="標楷體" w:hint="eastAsia"/>
                <w:sz w:val="28"/>
              </w:rPr>
              <w:t>壹、</w:t>
            </w:r>
            <w:r w:rsidRPr="00D67D90">
              <w:rPr>
                <w:rFonts w:eastAsia="標楷體" w:hAnsi="標楷體" w:hint="eastAsia"/>
                <w:sz w:val="28"/>
              </w:rPr>
              <w:t>研究內容重點：</w:t>
            </w:r>
          </w:p>
          <w:p w:rsidR="005B7484" w:rsidRDefault="005B7484" w:rsidP="00B3745F">
            <w:pPr>
              <w:widowControl/>
              <w:spacing w:line="360" w:lineRule="auto"/>
              <w:ind w:firstLineChars="204" w:firstLine="490"/>
              <w:jc w:val="both"/>
              <w:rPr>
                <w:rFonts w:eastAsia="標楷體"/>
              </w:rPr>
            </w:pPr>
            <w:r w:rsidRPr="00B3745F">
              <w:rPr>
                <w:rFonts w:eastAsia="標楷體" w:hint="eastAsia"/>
              </w:rPr>
              <w:t>操縱行為</w:t>
            </w:r>
            <w:r w:rsidRPr="00B3745F">
              <w:rPr>
                <w:rFonts w:eastAsia="標楷體"/>
              </w:rPr>
              <w:t>(Manipulation)</w:t>
            </w:r>
            <w:r w:rsidRPr="00B3745F">
              <w:rPr>
                <w:rFonts w:eastAsia="標楷體" w:hint="eastAsia"/>
              </w:rPr>
              <w:t>係以人為之因素扭曲自然供需所形成公正價格之機能，其危害市場之運作、衝擊市場之公平與公正性影響市場之功能甚</w:t>
            </w:r>
            <w:proofErr w:type="gramStart"/>
            <w:r w:rsidRPr="00B3745F">
              <w:rPr>
                <w:rFonts w:eastAsia="標楷體" w:hint="eastAsia"/>
              </w:rPr>
              <w:t>鉅</w:t>
            </w:r>
            <w:proofErr w:type="gramEnd"/>
            <w:r w:rsidRPr="00B3745F">
              <w:rPr>
                <w:rFonts w:eastAsia="標楷體" w:hint="eastAsia"/>
              </w:rPr>
              <w:t>，故有期貨市場之國家，在法令上都有嚴格規定予以禁絕，然期貨市場可能涉及操縱之因素較證券市場複雜，不</w:t>
            </w:r>
            <w:proofErr w:type="gramStart"/>
            <w:r w:rsidRPr="00B3745F">
              <w:rPr>
                <w:rFonts w:eastAsia="標楷體" w:hint="eastAsia"/>
              </w:rPr>
              <w:t>祇</w:t>
            </w:r>
            <w:proofErr w:type="gramEnd"/>
            <w:r w:rsidRPr="00B3745F">
              <w:rPr>
                <w:rFonts w:eastAsia="標楷體" w:hint="eastAsia"/>
              </w:rPr>
              <w:t>是期貨交易市場之本身而已，現貨商品市場之運作亦可直接或間接地影響期貨市場之價格，甚至期貨與現貨交叉配合之炒作行為，其犯罪之行為態樣相當多，較為常見者如囤積</w:t>
            </w:r>
            <w:r w:rsidRPr="00B3745F">
              <w:rPr>
                <w:rFonts w:eastAsia="標楷體"/>
              </w:rPr>
              <w:t>(Corner)</w:t>
            </w:r>
            <w:r w:rsidRPr="00B3745F">
              <w:rPr>
                <w:rFonts w:eastAsia="標楷體" w:hint="eastAsia"/>
              </w:rPr>
              <w:t>、擠壓軋空</w:t>
            </w:r>
            <w:r w:rsidRPr="00B3745F">
              <w:rPr>
                <w:rFonts w:eastAsia="標楷體"/>
              </w:rPr>
              <w:t>(Squeezes)</w:t>
            </w:r>
            <w:r w:rsidRPr="00B3745F">
              <w:rPr>
                <w:rFonts w:eastAsia="標楷體" w:hint="eastAsia"/>
              </w:rPr>
              <w:t>、散布不實資訊等行為，其危害市場秩序與公平交易之機制甚</w:t>
            </w:r>
            <w:proofErr w:type="gramStart"/>
            <w:r w:rsidRPr="00B3745F">
              <w:rPr>
                <w:rFonts w:eastAsia="標楷體" w:hint="eastAsia"/>
              </w:rPr>
              <w:t>鉅</w:t>
            </w:r>
            <w:proofErr w:type="gramEnd"/>
            <w:r w:rsidRPr="00B3745F">
              <w:rPr>
                <w:rFonts w:eastAsia="標楷體" w:hint="eastAsia"/>
              </w:rPr>
              <w:t>，有嚴加取締之必要。</w:t>
            </w:r>
          </w:p>
          <w:p w:rsidR="005B7484" w:rsidRDefault="005B7484" w:rsidP="00B3745F">
            <w:pPr>
              <w:widowControl/>
              <w:spacing w:line="360" w:lineRule="auto"/>
              <w:ind w:firstLineChars="204" w:firstLine="490"/>
              <w:jc w:val="both"/>
              <w:rPr>
                <w:rFonts w:eastAsia="標楷體"/>
              </w:rPr>
            </w:pPr>
            <w:r w:rsidRPr="00B3745F">
              <w:rPr>
                <w:rFonts w:eastAsia="標楷體" w:hint="eastAsia"/>
              </w:rPr>
              <w:t>對於期貨交易操縱行為我國期貨交易法第</w:t>
            </w:r>
            <w:r w:rsidRPr="00B3745F">
              <w:rPr>
                <w:rFonts w:eastAsia="標楷體"/>
              </w:rPr>
              <w:t>106</w:t>
            </w:r>
            <w:r w:rsidRPr="00B3745F">
              <w:rPr>
                <w:rFonts w:eastAsia="標楷體" w:hint="eastAsia"/>
              </w:rPr>
              <w:t>條已有規定，市場雖時有炒作操縱之傳聞，但司法實務案例上卻仍然付諸闕如，未如證券交易法第</w:t>
            </w:r>
            <w:r w:rsidRPr="00B3745F">
              <w:rPr>
                <w:rFonts w:eastAsia="標楷體"/>
              </w:rPr>
              <w:t>155</w:t>
            </w:r>
            <w:r w:rsidRPr="00B3745F">
              <w:rPr>
                <w:rFonts w:eastAsia="標楷體" w:hint="eastAsia"/>
              </w:rPr>
              <w:t>條適用案例之頻繁，顯見國人對期貨交易操縱行為之行為態樣與構成犯罪法律要件之認知尚有待充實之空間，</w:t>
            </w:r>
            <w:proofErr w:type="gramStart"/>
            <w:r w:rsidRPr="00B3745F">
              <w:rPr>
                <w:rFonts w:eastAsia="標楷體" w:hint="eastAsia"/>
              </w:rPr>
              <w:t>準</w:t>
            </w:r>
            <w:proofErr w:type="gramEnd"/>
            <w:r w:rsidRPr="00B3745F">
              <w:rPr>
                <w:rFonts w:eastAsia="標楷體" w:hint="eastAsia"/>
              </w:rPr>
              <w:t>此本研究案</w:t>
            </w:r>
            <w:r>
              <w:rPr>
                <w:rFonts w:eastAsia="標楷體" w:hint="eastAsia"/>
              </w:rPr>
              <w:t>以</w:t>
            </w:r>
            <w:r w:rsidRPr="00B3745F">
              <w:rPr>
                <w:rFonts w:eastAsia="標楷體" w:hint="eastAsia"/>
              </w:rPr>
              <w:t>從外國立法例、案例等以比較之方式，來加以探討操縱行為之</w:t>
            </w:r>
            <w:proofErr w:type="gramStart"/>
            <w:r w:rsidRPr="00B3745F">
              <w:rPr>
                <w:rFonts w:eastAsia="標楷體" w:hint="eastAsia"/>
              </w:rPr>
              <w:t>態樣及其</w:t>
            </w:r>
            <w:proofErr w:type="gramEnd"/>
            <w:r w:rsidRPr="00B3745F">
              <w:rPr>
                <w:rFonts w:eastAsia="標楷體" w:hint="eastAsia"/>
              </w:rPr>
              <w:t>構成要件，同時也對於我國期貨交易法相關規定提出</w:t>
            </w:r>
            <w:proofErr w:type="gramStart"/>
            <w:r w:rsidRPr="00B3745F">
              <w:rPr>
                <w:rFonts w:eastAsia="標楷體" w:hint="eastAsia"/>
              </w:rPr>
              <w:t>研</w:t>
            </w:r>
            <w:proofErr w:type="gramEnd"/>
            <w:r w:rsidRPr="00B3745F">
              <w:rPr>
                <w:rFonts w:eastAsia="標楷體" w:hint="eastAsia"/>
              </w:rPr>
              <w:t>析，以作為對於未來在執行上之參考，期能為我國期貨交易市場之健全管理提供可行之建言。</w:t>
            </w:r>
          </w:p>
          <w:p w:rsidR="005B7484" w:rsidRPr="00002724" w:rsidRDefault="005B7484" w:rsidP="00B3745F">
            <w:pPr>
              <w:widowControl/>
              <w:spacing w:line="360" w:lineRule="auto"/>
              <w:ind w:firstLineChars="204" w:firstLine="490"/>
              <w:jc w:val="both"/>
              <w:rPr>
                <w:rFonts w:eastAsia="標楷體"/>
              </w:rPr>
            </w:pPr>
          </w:p>
          <w:p w:rsidR="005B7484" w:rsidRDefault="005B7484" w:rsidP="00806188">
            <w:pPr>
              <w:adjustRightInd w:val="0"/>
              <w:snapToGrid w:val="0"/>
              <w:spacing w:line="360" w:lineRule="auto"/>
              <w:ind w:firstLineChars="17" w:firstLine="48"/>
              <w:jc w:val="both"/>
              <w:rPr>
                <w:rFonts w:eastAsia="標楷體" w:hAnsi="標楷體"/>
                <w:sz w:val="28"/>
              </w:rPr>
            </w:pPr>
            <w:r>
              <w:rPr>
                <w:rFonts w:eastAsia="標楷體" w:hAnsi="標楷體" w:hint="eastAsia"/>
                <w:sz w:val="28"/>
              </w:rPr>
              <w:t>貳、相關</w:t>
            </w:r>
            <w:r w:rsidRPr="00D67D90">
              <w:rPr>
                <w:rFonts w:eastAsia="標楷體" w:hAnsi="標楷體" w:hint="eastAsia"/>
                <w:sz w:val="28"/>
              </w:rPr>
              <w:t>建議：</w:t>
            </w:r>
          </w:p>
          <w:p w:rsidR="005B7484" w:rsidRDefault="005B7484" w:rsidP="00B3745F">
            <w:pPr>
              <w:pStyle w:val="a9"/>
              <w:widowControl/>
              <w:spacing w:line="360" w:lineRule="auto"/>
              <w:ind w:leftChars="0" w:left="0"/>
              <w:jc w:val="both"/>
              <w:rPr>
                <w:rFonts w:eastAsia="標楷體" w:hAnsi="標楷體"/>
              </w:rPr>
            </w:pPr>
            <w:r>
              <w:rPr>
                <w:rFonts w:eastAsia="標楷體" w:hAnsi="標楷體" w:hint="eastAsia"/>
              </w:rPr>
              <w:t xml:space="preserve">　</w:t>
            </w:r>
            <w:r w:rsidRPr="00B3745F">
              <w:rPr>
                <w:rFonts w:eastAsia="標楷體" w:hAnsi="標楷體" w:hint="eastAsia"/>
              </w:rPr>
              <w:t>一、期貨交易操縱炒作市場行情行為之刑事責任規定</w:t>
            </w:r>
            <w:r>
              <w:rPr>
                <w:rFonts w:eastAsia="標楷體" w:hAnsi="標楷體" w:hint="eastAsia"/>
              </w:rPr>
              <w:t>：</w:t>
            </w:r>
          </w:p>
          <w:p w:rsidR="005B7484" w:rsidRDefault="005B7484" w:rsidP="00202814">
            <w:pPr>
              <w:pStyle w:val="a9"/>
              <w:widowControl/>
              <w:spacing w:line="360" w:lineRule="auto"/>
              <w:ind w:leftChars="199" w:left="1210" w:hangingChars="305" w:hanging="732"/>
              <w:rPr>
                <w:rFonts w:ascii="標楷體" w:eastAsia="標楷體" w:hAnsi="標楷體"/>
                <w:bCs/>
              </w:rPr>
            </w:pPr>
            <w:r>
              <w:rPr>
                <w:rFonts w:eastAsia="標楷體" w:hAnsi="標楷體" w:hint="eastAsia"/>
              </w:rPr>
              <w:t>（一）</w:t>
            </w:r>
            <w:proofErr w:type="gramStart"/>
            <w:r w:rsidRPr="00B3745F">
              <w:rPr>
                <w:rFonts w:ascii="標楷體" w:eastAsia="標楷體" w:hAnsi="標楷體" w:hint="eastAsia"/>
                <w:bCs/>
              </w:rPr>
              <w:t>鑑</w:t>
            </w:r>
            <w:proofErr w:type="gramEnd"/>
            <w:r w:rsidRPr="00B3745F">
              <w:rPr>
                <w:rFonts w:ascii="標楷體" w:eastAsia="標楷體" w:hAnsi="標楷體" w:hint="eastAsia"/>
                <w:bCs/>
              </w:rPr>
              <w:t>於現行期貨交易法第</w:t>
            </w:r>
            <w:r w:rsidRPr="00B3745F">
              <w:rPr>
                <w:rFonts w:ascii="標楷體" w:eastAsia="標楷體" w:hAnsi="標楷體"/>
                <w:bCs/>
              </w:rPr>
              <w:t>106</w:t>
            </w:r>
            <w:r w:rsidRPr="00B3745F">
              <w:rPr>
                <w:rFonts w:ascii="標楷體" w:eastAsia="標楷體" w:hAnsi="標楷體" w:hint="eastAsia"/>
                <w:bCs/>
              </w:rPr>
              <w:t>條規定主觀要件僅規定意圖影響其交易價格，</w:t>
            </w:r>
            <w:r w:rsidRPr="00B3745F">
              <w:rPr>
                <w:rFonts w:ascii="標楷體" w:eastAsia="標楷體" w:hAnsi="標楷體" w:hint="eastAsia"/>
                <w:bCs/>
              </w:rPr>
              <w:lastRenderedPageBreak/>
              <w:t>對於意圖造成其交易活絡之表象部分尚無規範，因此建議於序文中將「意圖影響期貨交易價格」或「造成期貨交易活絡之表象」並移列。</w:t>
            </w:r>
          </w:p>
          <w:p w:rsidR="005B7484" w:rsidRDefault="005B7484" w:rsidP="00B3745F">
            <w:pPr>
              <w:pStyle w:val="a9"/>
              <w:widowControl/>
              <w:spacing w:line="360" w:lineRule="auto"/>
              <w:ind w:leftChars="0" w:left="1157" w:hangingChars="482" w:hanging="1157"/>
              <w:jc w:val="both"/>
              <w:rPr>
                <w:rFonts w:ascii="標楷體" w:eastAsia="標楷體" w:hAnsi="標楷體"/>
                <w:bCs/>
              </w:rPr>
            </w:pPr>
            <w:r>
              <w:rPr>
                <w:rFonts w:ascii="標楷體" w:eastAsia="標楷體" w:hAnsi="標楷體" w:hint="eastAsia"/>
                <w:bCs/>
              </w:rPr>
              <w:t xml:space="preserve">　　（二）</w:t>
            </w:r>
            <w:r w:rsidRPr="00B3745F">
              <w:rPr>
                <w:rFonts w:ascii="標楷體" w:eastAsia="標楷體" w:hAnsi="標楷體" w:hint="eastAsia"/>
                <w:bCs/>
              </w:rPr>
              <w:t>參照證券市場操縱禁止之規定增訂散布流言之操縱型態</w:t>
            </w:r>
            <w:r>
              <w:rPr>
                <w:rFonts w:ascii="標楷體" w:eastAsia="標楷體" w:hAnsi="標楷體" w:hint="eastAsia"/>
                <w:bCs/>
              </w:rPr>
              <w:t>。</w:t>
            </w:r>
          </w:p>
          <w:p w:rsidR="005B7484" w:rsidRDefault="005B7484" w:rsidP="00B3745F">
            <w:pPr>
              <w:pStyle w:val="a9"/>
              <w:widowControl/>
              <w:spacing w:line="360" w:lineRule="auto"/>
              <w:ind w:leftChars="0" w:left="1157" w:hangingChars="482" w:hanging="1157"/>
              <w:jc w:val="both"/>
              <w:rPr>
                <w:rFonts w:ascii="標楷體" w:eastAsia="標楷體" w:hAnsi="標楷體"/>
                <w:bCs/>
              </w:rPr>
            </w:pPr>
            <w:r>
              <w:rPr>
                <w:rFonts w:ascii="標楷體" w:eastAsia="標楷體" w:hAnsi="標楷體" w:hint="eastAsia"/>
                <w:bCs/>
              </w:rPr>
              <w:t xml:space="preserve">　　（三）</w:t>
            </w:r>
            <w:r w:rsidRPr="00B3745F">
              <w:rPr>
                <w:rFonts w:ascii="標楷體" w:eastAsia="標楷體" w:hAnsi="標楷體" w:hint="eastAsia"/>
                <w:bCs/>
              </w:rPr>
              <w:t>參照證券市場操縱禁止之規定增訂沖洗買賣之操縱型態</w:t>
            </w:r>
            <w:r>
              <w:rPr>
                <w:rFonts w:ascii="標楷體" w:eastAsia="標楷體" w:hAnsi="標楷體" w:hint="eastAsia"/>
                <w:bCs/>
              </w:rPr>
              <w:t>，</w:t>
            </w:r>
            <w:r w:rsidRPr="00CC7DB6">
              <w:rPr>
                <w:rFonts w:ascii="標楷體" w:eastAsia="標楷體" w:hAnsi="標楷體" w:hint="eastAsia"/>
              </w:rPr>
              <w:t>建議增列一款規定：「</w:t>
            </w:r>
            <w:r w:rsidRPr="00CC7DB6">
              <w:rPr>
                <w:rFonts w:ascii="標楷體" w:eastAsia="標楷體" w:hAnsi="標楷體" w:hint="eastAsia"/>
                <w:bCs/>
              </w:rPr>
              <w:t>意圖抬高、維持或壓低集中交易市場之交易價格或造成集中交易市場期貨交易活絡之表象，自行或以他人名義，連續委託買賣或申報買賣而相對成交」，</w:t>
            </w:r>
            <w:r w:rsidRPr="00CC7DB6">
              <w:rPr>
                <w:rFonts w:ascii="標楷體" w:eastAsia="標楷體" w:hAnsi="標楷體" w:hint="eastAsia"/>
              </w:rPr>
              <w:t>對於以同樣價格及數量買進及賣出相同之期貨契約，製造買賣期貨交易契約之假象者即構成本罪。</w:t>
            </w:r>
          </w:p>
          <w:p w:rsidR="005B7484" w:rsidRDefault="005B7484" w:rsidP="00202814">
            <w:pPr>
              <w:pStyle w:val="a9"/>
              <w:widowControl/>
              <w:spacing w:line="360" w:lineRule="auto"/>
              <w:ind w:leftChars="199" w:left="1210" w:hangingChars="305" w:hanging="732"/>
              <w:rPr>
                <w:rFonts w:ascii="標楷體" w:eastAsia="標楷體" w:hAnsi="標楷體"/>
                <w:bCs/>
              </w:rPr>
            </w:pPr>
            <w:r>
              <w:rPr>
                <w:rFonts w:ascii="標楷體" w:eastAsia="標楷體" w:hAnsi="標楷體" w:hint="eastAsia"/>
                <w:bCs/>
              </w:rPr>
              <w:t>（四）</w:t>
            </w:r>
            <w:r w:rsidRPr="00B3745F">
              <w:rPr>
                <w:rFonts w:ascii="標楷體" w:eastAsia="標楷體" w:hAnsi="標楷體" w:hint="eastAsia"/>
                <w:bCs/>
              </w:rPr>
              <w:t>參照證券市場操縱禁止之規定增訂相對委託之操縱型態</w:t>
            </w:r>
            <w:r>
              <w:rPr>
                <w:rFonts w:ascii="標楷體" w:eastAsia="標楷體" w:hAnsi="標楷體" w:hint="eastAsia"/>
                <w:bCs/>
              </w:rPr>
              <w:t>，</w:t>
            </w:r>
            <w:r w:rsidRPr="00202814">
              <w:rPr>
                <w:rFonts w:ascii="標楷體" w:eastAsia="標楷體" w:hAnsi="標楷體" w:hint="eastAsia"/>
                <w:bCs/>
              </w:rPr>
              <w:t>建議增列一款規定：「意圖抬高、維持或壓低集中交易市場之交易價格或造成集中交易市場期貨交易活絡之表象，與他人通謀，以約定價格於自己出售，或購買期貨交易契約時，使約定人同時為購買或出售之相對行為」即構成本罪。</w:t>
            </w:r>
          </w:p>
          <w:p w:rsidR="005B7484" w:rsidRDefault="005B7484" w:rsidP="00B3745F">
            <w:pPr>
              <w:pStyle w:val="a9"/>
              <w:widowControl/>
              <w:spacing w:line="360" w:lineRule="auto"/>
              <w:ind w:leftChars="199" w:left="1210" w:hangingChars="305" w:hanging="732"/>
              <w:jc w:val="both"/>
              <w:rPr>
                <w:rFonts w:ascii="標楷體" w:eastAsia="標楷體" w:hAnsi="標楷體"/>
                <w:bCs/>
              </w:rPr>
            </w:pPr>
            <w:r>
              <w:rPr>
                <w:rFonts w:ascii="標楷體" w:eastAsia="標楷體" w:hAnsi="標楷體" w:hint="eastAsia"/>
                <w:bCs/>
              </w:rPr>
              <w:t>（五）</w:t>
            </w:r>
            <w:r w:rsidRPr="00B3745F">
              <w:rPr>
                <w:rFonts w:ascii="標楷體" w:eastAsia="標楷體" w:hAnsi="標楷體" w:hint="eastAsia"/>
                <w:bCs/>
              </w:rPr>
              <w:t>期貨交易因為係以保證金或權利金交易之槓桿效果，其財務、風險等皆較證券市場高，證券交易法第</w:t>
            </w:r>
            <w:r w:rsidRPr="00B3745F">
              <w:rPr>
                <w:rFonts w:ascii="標楷體" w:eastAsia="標楷體" w:hAnsi="標楷體"/>
                <w:bCs/>
              </w:rPr>
              <w:t>171</w:t>
            </w:r>
            <w:r w:rsidRPr="00B3745F">
              <w:rPr>
                <w:rFonts w:ascii="標楷體" w:eastAsia="標楷體" w:hAnsi="標楷體" w:hint="eastAsia"/>
                <w:bCs/>
              </w:rPr>
              <w:t>條之刑事責任規定在幾經修正與調整之後已遠較期貨交易法第</w:t>
            </w:r>
            <w:r w:rsidRPr="00B3745F">
              <w:rPr>
                <w:rFonts w:ascii="標楷體" w:eastAsia="標楷體" w:hAnsi="標楷體"/>
                <w:bCs/>
              </w:rPr>
              <w:t>112</w:t>
            </w:r>
            <w:r w:rsidRPr="00B3745F">
              <w:rPr>
                <w:rFonts w:ascii="標楷體" w:eastAsia="標楷體" w:hAnsi="標楷體" w:hint="eastAsia"/>
                <w:bCs/>
              </w:rPr>
              <w:t>條之規定為高，當初期貨交易法參照證券交易法制定之刑度一直未調整，從期貨交易操縱炒作市場行情行為犯罪之惡性與刑事責任法律適用之完整性言，建議期貨交易法第</w:t>
            </w:r>
            <w:r w:rsidRPr="00B3745F">
              <w:rPr>
                <w:rFonts w:ascii="標楷體" w:eastAsia="標楷體" w:hAnsi="標楷體"/>
                <w:bCs/>
              </w:rPr>
              <w:t>112</w:t>
            </w:r>
            <w:r w:rsidRPr="00B3745F">
              <w:rPr>
                <w:rFonts w:ascii="標楷體" w:eastAsia="標楷體" w:hAnsi="標楷體" w:hint="eastAsia"/>
                <w:bCs/>
              </w:rPr>
              <w:t>條之刑事規定應配合修正序文為：「有下列情事之</w:t>
            </w:r>
            <w:proofErr w:type="gramStart"/>
            <w:r w:rsidRPr="00B3745F">
              <w:rPr>
                <w:rFonts w:ascii="標楷體" w:eastAsia="標楷體" w:hAnsi="標楷體" w:hint="eastAsia"/>
                <w:bCs/>
              </w:rPr>
              <w:t>一</w:t>
            </w:r>
            <w:proofErr w:type="gramEnd"/>
            <w:r w:rsidRPr="00B3745F">
              <w:rPr>
                <w:rFonts w:ascii="標楷體" w:eastAsia="標楷體" w:hAnsi="標楷體" w:hint="eastAsia"/>
                <w:bCs/>
              </w:rPr>
              <w:t>者，處三年以上十年以下有期徒刑，得</w:t>
            </w:r>
            <w:proofErr w:type="gramStart"/>
            <w:r w:rsidRPr="00B3745F">
              <w:rPr>
                <w:rFonts w:ascii="標楷體" w:eastAsia="標楷體" w:hAnsi="標楷體" w:hint="eastAsia"/>
                <w:bCs/>
              </w:rPr>
              <w:t>併</w:t>
            </w:r>
            <w:proofErr w:type="gramEnd"/>
            <w:r w:rsidRPr="00B3745F">
              <w:rPr>
                <w:rFonts w:ascii="標楷體" w:eastAsia="標楷體" w:hAnsi="標楷體" w:hint="eastAsia"/>
                <w:bCs/>
              </w:rPr>
              <w:t>科新臺幣一千萬元以上二億元以下罰金。」並增訂第</w:t>
            </w:r>
            <w:r w:rsidRPr="00B3745F">
              <w:rPr>
                <w:rFonts w:ascii="標楷體" w:eastAsia="標楷體" w:hAnsi="標楷體"/>
                <w:bCs/>
              </w:rPr>
              <w:t>2</w:t>
            </w:r>
            <w:r w:rsidRPr="00B3745F">
              <w:rPr>
                <w:rFonts w:ascii="標楷體" w:eastAsia="標楷體" w:hAnsi="標楷體" w:hint="eastAsia"/>
                <w:bCs/>
              </w:rPr>
              <w:t>項為：「犯前項之罪，其犯罪所得金額達新臺幣一億元以上者，處七年以上有期徒刑，得</w:t>
            </w:r>
            <w:proofErr w:type="gramStart"/>
            <w:r w:rsidRPr="00B3745F">
              <w:rPr>
                <w:rFonts w:ascii="標楷體" w:eastAsia="標楷體" w:hAnsi="標楷體" w:hint="eastAsia"/>
                <w:bCs/>
              </w:rPr>
              <w:t>併</w:t>
            </w:r>
            <w:proofErr w:type="gramEnd"/>
            <w:r w:rsidRPr="00B3745F">
              <w:rPr>
                <w:rFonts w:ascii="標楷體" w:eastAsia="標楷體" w:hAnsi="標楷體" w:hint="eastAsia"/>
                <w:bCs/>
              </w:rPr>
              <w:t>科新臺幣二千五百萬元以上五億元以下罰金。」</w:t>
            </w:r>
          </w:p>
          <w:p w:rsidR="005B7484" w:rsidRPr="00202814" w:rsidRDefault="005B7484" w:rsidP="00202814">
            <w:pPr>
              <w:pStyle w:val="a9"/>
              <w:widowControl/>
              <w:spacing w:line="360" w:lineRule="auto"/>
              <w:ind w:leftChars="198" w:left="1140" w:hangingChars="277" w:hanging="665"/>
              <w:rPr>
                <w:rFonts w:ascii="標楷體" w:eastAsia="標楷體" w:hAnsi="標楷體"/>
                <w:bCs/>
              </w:rPr>
            </w:pPr>
            <w:r>
              <w:rPr>
                <w:rFonts w:ascii="標楷體" w:eastAsia="標楷體" w:hAnsi="標楷體" w:hint="eastAsia"/>
                <w:bCs/>
              </w:rPr>
              <w:t>（六）增訂期貨交易操縱炒作市場行情犯罪之自白與從刑</w:t>
            </w:r>
            <w:r w:rsidRPr="00202814">
              <w:rPr>
                <w:rFonts w:ascii="標楷體" w:eastAsia="標楷體" w:hAnsi="標楷體" w:hint="eastAsia"/>
                <w:bCs/>
              </w:rPr>
              <w:t>規定</w:t>
            </w:r>
            <w:r>
              <w:rPr>
                <w:rFonts w:ascii="標楷體" w:eastAsia="標楷體" w:hAnsi="標楷體" w:hint="eastAsia"/>
                <w:bCs/>
              </w:rPr>
              <w:t>，</w:t>
            </w:r>
            <w:r w:rsidRPr="00202814">
              <w:rPr>
                <w:rFonts w:ascii="標楷體" w:eastAsia="標楷體" w:hAnsi="標楷體" w:hint="eastAsia"/>
                <w:bCs/>
              </w:rPr>
              <w:t>建議比照增訂第</w:t>
            </w:r>
            <w:r w:rsidRPr="00202814">
              <w:rPr>
                <w:rFonts w:ascii="標楷體" w:eastAsia="標楷體" w:hAnsi="標楷體"/>
                <w:bCs/>
              </w:rPr>
              <w:t>3</w:t>
            </w:r>
            <w:r w:rsidRPr="00202814">
              <w:rPr>
                <w:rFonts w:ascii="標楷體" w:eastAsia="標楷體" w:hAnsi="標楷體" w:hint="eastAsia"/>
                <w:bCs/>
              </w:rPr>
              <w:t>項為：「犯第</w:t>
            </w:r>
            <w:r w:rsidRPr="00202814">
              <w:rPr>
                <w:rFonts w:ascii="標楷體" w:eastAsia="標楷體" w:hAnsi="標楷體"/>
                <w:bCs/>
              </w:rPr>
              <w:t>1</w:t>
            </w:r>
            <w:r w:rsidRPr="00202814">
              <w:rPr>
                <w:rFonts w:ascii="標楷體" w:eastAsia="標楷體" w:hAnsi="標楷體" w:hint="eastAsia"/>
                <w:bCs/>
              </w:rPr>
              <w:t>項或第</w:t>
            </w:r>
            <w:r w:rsidRPr="00202814">
              <w:rPr>
                <w:rFonts w:ascii="標楷體" w:eastAsia="標楷體" w:hAnsi="標楷體"/>
                <w:bCs/>
              </w:rPr>
              <w:t>2</w:t>
            </w:r>
            <w:r w:rsidRPr="00202814">
              <w:rPr>
                <w:rFonts w:ascii="標楷體" w:eastAsia="標楷體" w:hAnsi="標楷體" w:hint="eastAsia"/>
                <w:bCs/>
              </w:rPr>
              <w:t>項之罪，在偵查中自白，如有犯罪所得並自動繳交全部所得財物者，減輕其刑；並因而查獲其他正犯或共犯者，減輕其刑至二分之一。」及第</w:t>
            </w:r>
            <w:r w:rsidRPr="00202814">
              <w:rPr>
                <w:rFonts w:ascii="標楷體" w:eastAsia="標楷體" w:hAnsi="標楷體"/>
                <w:bCs/>
              </w:rPr>
              <w:t>4</w:t>
            </w:r>
            <w:r w:rsidRPr="00202814">
              <w:rPr>
                <w:rFonts w:ascii="標楷體" w:eastAsia="標楷體" w:hAnsi="標楷體" w:hint="eastAsia"/>
                <w:bCs/>
              </w:rPr>
              <w:t>項為：「犯第</w:t>
            </w:r>
            <w:r w:rsidRPr="00202814">
              <w:rPr>
                <w:rFonts w:ascii="標楷體" w:eastAsia="標楷體" w:hAnsi="標楷體"/>
                <w:bCs/>
              </w:rPr>
              <w:t>1</w:t>
            </w:r>
            <w:r w:rsidRPr="00202814">
              <w:rPr>
                <w:rFonts w:ascii="標楷體" w:eastAsia="標楷體" w:hAnsi="標楷體" w:hint="eastAsia"/>
                <w:bCs/>
              </w:rPr>
              <w:t>項或第</w:t>
            </w:r>
            <w:r w:rsidRPr="00202814">
              <w:rPr>
                <w:rFonts w:ascii="標楷體" w:eastAsia="標楷體" w:hAnsi="標楷體"/>
                <w:bCs/>
              </w:rPr>
              <w:t>2</w:t>
            </w:r>
            <w:r w:rsidRPr="00202814">
              <w:rPr>
                <w:rFonts w:ascii="標楷體" w:eastAsia="標楷體" w:hAnsi="標楷體" w:hint="eastAsia"/>
                <w:bCs/>
              </w:rPr>
              <w:t>項之罪，其犯罪所得利益超過罰</w:t>
            </w:r>
            <w:r w:rsidRPr="00202814">
              <w:rPr>
                <w:rFonts w:ascii="標楷體" w:eastAsia="標楷體" w:hAnsi="標楷體" w:hint="eastAsia"/>
                <w:bCs/>
              </w:rPr>
              <w:lastRenderedPageBreak/>
              <w:t>金</w:t>
            </w:r>
            <w:proofErr w:type="gramStart"/>
            <w:r w:rsidRPr="00202814">
              <w:rPr>
                <w:rFonts w:ascii="標楷體" w:eastAsia="標楷體" w:hAnsi="標楷體" w:hint="eastAsia"/>
                <w:bCs/>
              </w:rPr>
              <w:t>最</w:t>
            </w:r>
            <w:proofErr w:type="gramEnd"/>
            <w:r w:rsidRPr="00202814">
              <w:rPr>
                <w:rFonts w:ascii="標楷體" w:eastAsia="標楷體" w:hAnsi="標楷體" w:hint="eastAsia"/>
                <w:bCs/>
              </w:rPr>
              <w:t>高額時，得於所得利益之範圍內加重罰金；</w:t>
            </w:r>
            <w:proofErr w:type="gramStart"/>
            <w:r w:rsidRPr="00202814">
              <w:rPr>
                <w:rFonts w:ascii="標楷體" w:eastAsia="標楷體" w:hAnsi="標楷體" w:hint="eastAsia"/>
                <w:bCs/>
              </w:rPr>
              <w:t>如損及</w:t>
            </w:r>
            <w:proofErr w:type="gramEnd"/>
            <w:r w:rsidRPr="00202814">
              <w:rPr>
                <w:rFonts w:ascii="標楷體" w:eastAsia="標楷體" w:hAnsi="標楷體" w:hint="eastAsia"/>
                <w:bCs/>
              </w:rPr>
              <w:t>證券市場穩定者，加重其刑至二分之一。</w:t>
            </w:r>
          </w:p>
          <w:p w:rsidR="005B7484" w:rsidRDefault="005B7484" w:rsidP="00B3745F">
            <w:pPr>
              <w:pStyle w:val="a9"/>
              <w:widowControl/>
              <w:spacing w:line="360" w:lineRule="auto"/>
              <w:ind w:leftChars="0" w:left="0"/>
              <w:jc w:val="both"/>
              <w:rPr>
                <w:rFonts w:ascii="標楷體" w:eastAsia="標楷體" w:hAnsi="標楷體"/>
                <w:bCs/>
              </w:rPr>
            </w:pPr>
            <w:r w:rsidRPr="00202814">
              <w:rPr>
                <w:rFonts w:ascii="標楷體" w:eastAsia="標楷體" w:hAnsi="標楷體" w:hint="eastAsia"/>
                <w:bCs/>
              </w:rPr>
              <w:t xml:space="preserve">　二、期貨交易操縱炒作市場行情行為之民事責任規定</w:t>
            </w:r>
            <w:r>
              <w:rPr>
                <w:rFonts w:ascii="標楷體" w:eastAsia="標楷體" w:hAnsi="標楷體" w:hint="eastAsia"/>
                <w:bCs/>
              </w:rPr>
              <w:t>：</w:t>
            </w:r>
          </w:p>
          <w:p w:rsidR="005B7484" w:rsidRDefault="005B7484" w:rsidP="00202814">
            <w:pPr>
              <w:pStyle w:val="a9"/>
              <w:widowControl/>
              <w:spacing w:line="360" w:lineRule="auto"/>
              <w:ind w:leftChars="0" w:left="1128" w:hangingChars="470" w:hanging="1128"/>
              <w:jc w:val="both"/>
              <w:rPr>
                <w:rFonts w:ascii="標楷體" w:eastAsia="標楷體" w:hAnsi="標楷體"/>
                <w:bCs/>
              </w:rPr>
            </w:pPr>
            <w:r>
              <w:rPr>
                <w:rFonts w:ascii="標楷體" w:eastAsia="標楷體" w:hAnsi="標楷體" w:hint="eastAsia"/>
                <w:bCs/>
              </w:rPr>
              <w:t xml:space="preserve">　　（一）</w:t>
            </w:r>
            <w:r w:rsidRPr="00202814">
              <w:rPr>
                <w:rFonts w:ascii="標楷體" w:eastAsia="標楷體" w:hAnsi="標楷體" w:hint="eastAsia"/>
                <w:bCs/>
              </w:rPr>
              <w:t>增訂期貨交易操縱炒作市場行情行為民事損害賠償之規定</w:t>
            </w:r>
            <w:r>
              <w:rPr>
                <w:rFonts w:ascii="標楷體" w:eastAsia="標楷體" w:hAnsi="標楷體" w:hint="eastAsia"/>
                <w:bCs/>
              </w:rPr>
              <w:t>，</w:t>
            </w:r>
            <w:r w:rsidRPr="00202814">
              <w:rPr>
                <w:rFonts w:ascii="標楷體" w:eastAsia="標楷體" w:hAnsi="標楷體" w:hint="eastAsia"/>
                <w:bCs/>
              </w:rPr>
              <w:t>建議於期貨交易法第</w:t>
            </w:r>
            <w:r w:rsidRPr="00202814">
              <w:rPr>
                <w:rFonts w:ascii="標楷體" w:eastAsia="標楷體" w:hAnsi="標楷體"/>
                <w:bCs/>
              </w:rPr>
              <w:t>106</w:t>
            </w:r>
            <w:r w:rsidRPr="00202814">
              <w:rPr>
                <w:rFonts w:ascii="標楷體" w:eastAsia="標楷體" w:hAnsi="標楷體" w:hint="eastAsia"/>
                <w:bCs/>
              </w:rPr>
              <w:t>條第</w:t>
            </w:r>
            <w:r w:rsidRPr="00202814">
              <w:rPr>
                <w:rFonts w:ascii="標楷體" w:eastAsia="標楷體" w:hAnsi="標楷體"/>
                <w:bCs/>
              </w:rPr>
              <w:t>2</w:t>
            </w:r>
            <w:r w:rsidRPr="00202814">
              <w:rPr>
                <w:rFonts w:ascii="標楷體" w:eastAsia="標楷體" w:hAnsi="標楷體" w:hint="eastAsia"/>
                <w:bCs/>
              </w:rPr>
              <w:t>項增訂為：「違反前項規定者，對於善意買入或賣出之人所受之損害，應負賠償責任。」</w:t>
            </w:r>
          </w:p>
          <w:p w:rsidR="005B7484" w:rsidRDefault="005B7484" w:rsidP="00202814">
            <w:pPr>
              <w:pStyle w:val="a9"/>
              <w:widowControl/>
              <w:spacing w:line="360" w:lineRule="auto"/>
              <w:ind w:leftChars="0" w:left="1128" w:hangingChars="470" w:hanging="1128"/>
              <w:jc w:val="both"/>
              <w:rPr>
                <w:rFonts w:ascii="標楷體" w:eastAsia="標楷體" w:hAnsi="標楷體"/>
                <w:bCs/>
              </w:rPr>
            </w:pPr>
            <w:r>
              <w:rPr>
                <w:rFonts w:ascii="標楷體" w:eastAsia="標楷體" w:hAnsi="標楷體" w:hint="eastAsia"/>
                <w:bCs/>
              </w:rPr>
              <w:t xml:space="preserve">　　（二）</w:t>
            </w:r>
            <w:r w:rsidRPr="00202814">
              <w:rPr>
                <w:rFonts w:ascii="標楷體" w:eastAsia="標楷體" w:hAnsi="標楷體" w:hint="eastAsia"/>
                <w:bCs/>
              </w:rPr>
              <w:t>增訂期貨交易操縱炒作市場行情行為民法特殊形態</w:t>
            </w:r>
            <w:proofErr w:type="gramStart"/>
            <w:r w:rsidRPr="00202814">
              <w:rPr>
                <w:rFonts w:ascii="標楷體" w:eastAsia="標楷體" w:hAnsi="標楷體" w:hint="eastAsia"/>
                <w:bCs/>
              </w:rPr>
              <w:t>侵</w:t>
            </w:r>
            <w:proofErr w:type="gramEnd"/>
            <w:r w:rsidRPr="00202814">
              <w:rPr>
                <w:rFonts w:ascii="標楷體" w:eastAsia="標楷體" w:hAnsi="標楷體" w:hint="eastAsia"/>
                <w:bCs/>
              </w:rPr>
              <w:t>權行為之規定</w:t>
            </w:r>
            <w:r>
              <w:rPr>
                <w:rFonts w:ascii="標楷體" w:eastAsia="標楷體" w:hAnsi="標楷體" w:hint="eastAsia"/>
                <w:bCs/>
              </w:rPr>
              <w:t>，建議</w:t>
            </w:r>
            <w:r w:rsidRPr="00202814">
              <w:rPr>
                <w:rFonts w:ascii="標楷體" w:eastAsia="標楷體" w:hAnsi="標楷體" w:hint="eastAsia"/>
                <w:bCs/>
              </w:rPr>
              <w:t>增訂為：「違反第一項之規定致生損害於善意買入或賣出之人者，負賠償責任。但能證明其行為無過失者，不在此</w:t>
            </w:r>
            <w:r w:rsidR="00094572">
              <w:rPr>
                <w:rFonts w:ascii="標楷體" w:eastAsia="標楷體" w:hAnsi="標楷體" w:hint="eastAsia"/>
                <w:bCs/>
              </w:rPr>
              <w:t>限</w:t>
            </w:r>
            <w:r w:rsidRPr="00202814">
              <w:rPr>
                <w:rFonts w:ascii="標楷體" w:eastAsia="標楷體" w:hAnsi="標楷體" w:hint="eastAsia"/>
                <w:bCs/>
              </w:rPr>
              <w:t>」。直接將期貨交易操縱炒作市場行情行為認為是一種獨立類型之侵權行為責任。</w:t>
            </w:r>
          </w:p>
          <w:p w:rsidR="005B7484" w:rsidRDefault="005B7484" w:rsidP="00202814">
            <w:pPr>
              <w:pStyle w:val="a9"/>
              <w:widowControl/>
              <w:spacing w:line="360" w:lineRule="auto"/>
              <w:ind w:leftChars="0" w:left="1128" w:hangingChars="470" w:hanging="1128"/>
              <w:jc w:val="both"/>
              <w:rPr>
                <w:rFonts w:ascii="標楷體" w:eastAsia="標楷體" w:hAnsi="標楷體"/>
                <w:bCs/>
              </w:rPr>
            </w:pPr>
            <w:r>
              <w:rPr>
                <w:rFonts w:ascii="標楷體" w:eastAsia="標楷體" w:hAnsi="標楷體" w:hint="eastAsia"/>
                <w:bCs/>
              </w:rPr>
              <w:t xml:space="preserve">　　（三）</w:t>
            </w:r>
            <w:r w:rsidRPr="00202814">
              <w:rPr>
                <w:rFonts w:ascii="標楷體" w:eastAsia="標楷體" w:hAnsi="標楷體" w:hint="eastAsia"/>
                <w:bCs/>
              </w:rPr>
              <w:t>推定期貨交易操縱行為之主觀故意與結果間之因果關係</w:t>
            </w:r>
            <w:r>
              <w:rPr>
                <w:rFonts w:ascii="標楷體" w:eastAsia="標楷體" w:hAnsi="標楷體" w:hint="eastAsia"/>
                <w:bCs/>
              </w:rPr>
              <w:t>。</w:t>
            </w:r>
          </w:p>
          <w:p w:rsidR="005B7484" w:rsidRPr="00202814" w:rsidRDefault="005B7484" w:rsidP="00202814">
            <w:pPr>
              <w:pStyle w:val="a9"/>
              <w:widowControl/>
              <w:spacing w:line="360" w:lineRule="auto"/>
              <w:ind w:leftChars="0" w:left="1128" w:hangingChars="470" w:hanging="1128"/>
              <w:jc w:val="both"/>
              <w:rPr>
                <w:rFonts w:ascii="標楷體" w:eastAsia="標楷體" w:hAnsi="標楷體"/>
                <w:bCs/>
              </w:rPr>
            </w:pPr>
            <w:r>
              <w:rPr>
                <w:rFonts w:ascii="標楷體" w:eastAsia="標楷體" w:hAnsi="標楷體" w:hint="eastAsia"/>
                <w:bCs/>
              </w:rPr>
              <w:t xml:space="preserve">　　（四）</w:t>
            </w:r>
            <w:r w:rsidRPr="00202814">
              <w:rPr>
                <w:rFonts w:ascii="標楷體" w:eastAsia="標楷體" w:hAnsi="標楷體" w:hint="eastAsia"/>
                <w:bCs/>
              </w:rPr>
              <w:t>期貨交易操縱行為損害賠償建議明訂以行為後第二天價位作為計算基礎</w:t>
            </w:r>
            <w:r>
              <w:rPr>
                <w:rFonts w:ascii="標楷體" w:eastAsia="標楷體" w:hAnsi="標楷體" w:hint="eastAsia"/>
                <w:bCs/>
              </w:rPr>
              <w:t>，</w:t>
            </w:r>
            <w:r w:rsidRPr="00202814">
              <w:rPr>
                <w:rFonts w:ascii="標楷體" w:eastAsia="標楷體" w:hAnsi="標楷體" w:hint="eastAsia"/>
                <w:bCs/>
              </w:rPr>
              <w:t>建議以擬制之方式直接比照證券交易法第</w:t>
            </w:r>
            <w:r w:rsidRPr="00202814">
              <w:rPr>
                <w:rFonts w:ascii="標楷體" w:eastAsia="標楷體" w:hAnsi="標楷體"/>
                <w:bCs/>
              </w:rPr>
              <w:t>157</w:t>
            </w:r>
            <w:r w:rsidRPr="00202814">
              <w:rPr>
                <w:rFonts w:ascii="標楷體" w:eastAsia="標楷體" w:hAnsi="標楷體" w:hint="eastAsia"/>
                <w:bCs/>
              </w:rPr>
              <w:t>條之</w:t>
            </w:r>
            <w:r w:rsidRPr="00202814">
              <w:rPr>
                <w:rFonts w:ascii="標楷體" w:eastAsia="標楷體" w:hAnsi="標楷體"/>
                <w:bCs/>
              </w:rPr>
              <w:t>1</w:t>
            </w:r>
            <w:r w:rsidRPr="00202814">
              <w:rPr>
                <w:rFonts w:ascii="標楷體" w:eastAsia="標楷體" w:hAnsi="標楷體" w:hint="eastAsia"/>
                <w:bCs/>
              </w:rPr>
              <w:t>第</w:t>
            </w:r>
            <w:r w:rsidRPr="00202814">
              <w:rPr>
                <w:rFonts w:ascii="標楷體" w:eastAsia="標楷體" w:hAnsi="標楷體"/>
                <w:bCs/>
              </w:rPr>
              <w:t>3</w:t>
            </w:r>
            <w:r w:rsidRPr="00202814">
              <w:rPr>
                <w:rFonts w:ascii="標楷體" w:eastAsia="標楷體" w:hAnsi="標楷體" w:hint="eastAsia"/>
                <w:bCs/>
              </w:rPr>
              <w:t>項規定，將其納入期貨交易法第</w:t>
            </w:r>
            <w:r w:rsidRPr="00202814">
              <w:rPr>
                <w:rFonts w:ascii="標楷體" w:eastAsia="標楷體" w:hAnsi="標楷體"/>
                <w:bCs/>
              </w:rPr>
              <w:t>106</w:t>
            </w:r>
            <w:r w:rsidRPr="00202814">
              <w:rPr>
                <w:rFonts w:ascii="標楷體" w:eastAsia="標楷體" w:hAnsi="標楷體" w:hint="eastAsia"/>
                <w:bCs/>
              </w:rPr>
              <w:t>條第</w:t>
            </w:r>
            <w:r w:rsidRPr="00202814">
              <w:rPr>
                <w:rFonts w:ascii="標楷體" w:eastAsia="標楷體" w:hAnsi="標楷體"/>
                <w:bCs/>
              </w:rPr>
              <w:t>4</w:t>
            </w:r>
            <w:r w:rsidR="008903CC">
              <w:rPr>
                <w:rFonts w:ascii="標楷體" w:eastAsia="標楷體" w:hAnsi="標楷體" w:hint="eastAsia"/>
                <w:bCs/>
              </w:rPr>
              <w:t>項之規定，增訂為：「</w:t>
            </w:r>
            <w:r w:rsidRPr="00202814">
              <w:rPr>
                <w:rFonts w:ascii="標楷體" w:eastAsia="標楷體" w:hAnsi="標楷體" w:hint="eastAsia"/>
                <w:bCs/>
              </w:rPr>
              <w:t>違反第一項規定者，對於當日善意從事相反買賣之人買入或賣出該期貨交易契約之價格，與行為後二</w:t>
            </w:r>
            <w:proofErr w:type="gramStart"/>
            <w:r w:rsidRPr="00202814">
              <w:rPr>
                <w:rFonts w:ascii="標楷體" w:eastAsia="標楷體" w:hAnsi="標楷體" w:hint="eastAsia"/>
                <w:bCs/>
              </w:rPr>
              <w:t>個</w:t>
            </w:r>
            <w:proofErr w:type="gramEnd"/>
            <w:r w:rsidRPr="00202814">
              <w:rPr>
                <w:rFonts w:ascii="標楷體" w:eastAsia="標楷體" w:hAnsi="標楷體" w:hint="eastAsia"/>
                <w:bCs/>
              </w:rPr>
              <w:t>營業日收盤平均價格之差額，負損害賠償責任；其情節重大者，法院得依善意從事相反買賣之人之請求，將賠償額提高至三倍；其情節輕微者，法院得減輕賠償金額」。</w:t>
            </w:r>
          </w:p>
        </w:tc>
      </w:tr>
    </w:tbl>
    <w:p w:rsidR="005B7484" w:rsidRDefault="005B7484" w:rsidP="00F71ECC"/>
    <w:p w:rsidR="005B7484" w:rsidRPr="00F71ECC" w:rsidRDefault="005B7484"/>
    <w:sectPr w:rsidR="005B7484" w:rsidRPr="00F71ECC" w:rsidSect="007C22AC">
      <w:footerReference w:type="even" r:id="rId7"/>
      <w:footerReference w:type="default" r:id="rId8"/>
      <w:pgSz w:w="11906" w:h="16838" w:code="9"/>
      <w:pgMar w:top="1440" w:right="1797" w:bottom="1440"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B8E" w:rsidRDefault="00903B8E" w:rsidP="00F71ECC">
      <w:r>
        <w:separator/>
      </w:r>
    </w:p>
  </w:endnote>
  <w:endnote w:type="continuationSeparator" w:id="0">
    <w:p w:rsidR="00903B8E" w:rsidRDefault="00903B8E" w:rsidP="00F71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84" w:rsidRDefault="00CE76D5">
    <w:pPr>
      <w:pStyle w:val="a7"/>
      <w:framePr w:wrap="around" w:vAnchor="text" w:hAnchor="margin" w:xAlign="center" w:y="1"/>
      <w:rPr>
        <w:rStyle w:val="a3"/>
      </w:rPr>
    </w:pPr>
    <w:r>
      <w:rPr>
        <w:rStyle w:val="a3"/>
      </w:rPr>
      <w:fldChar w:fldCharType="begin"/>
    </w:r>
    <w:r w:rsidR="005B7484">
      <w:rPr>
        <w:rStyle w:val="a3"/>
      </w:rPr>
      <w:instrText xml:space="preserve">PAGE  </w:instrText>
    </w:r>
    <w:r>
      <w:rPr>
        <w:rStyle w:val="a3"/>
      </w:rPr>
      <w:fldChar w:fldCharType="separate"/>
    </w:r>
    <w:r w:rsidR="005B7484">
      <w:rPr>
        <w:rStyle w:val="a3"/>
        <w:noProof/>
      </w:rPr>
      <w:t>3</w:t>
    </w:r>
    <w:r>
      <w:rPr>
        <w:rStyle w:val="a3"/>
      </w:rPr>
      <w:fldChar w:fldCharType="end"/>
    </w:r>
  </w:p>
  <w:p w:rsidR="005B7484" w:rsidRDefault="005B748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484" w:rsidRDefault="00CE76D5">
    <w:pPr>
      <w:pStyle w:val="a7"/>
      <w:framePr w:wrap="around" w:vAnchor="text" w:hAnchor="margin" w:xAlign="center" w:y="1"/>
      <w:rPr>
        <w:rStyle w:val="a3"/>
        <w:sz w:val="24"/>
      </w:rPr>
    </w:pPr>
    <w:r>
      <w:rPr>
        <w:rStyle w:val="a3"/>
        <w:sz w:val="24"/>
      </w:rPr>
      <w:fldChar w:fldCharType="begin"/>
    </w:r>
    <w:r w:rsidR="005B7484">
      <w:rPr>
        <w:rStyle w:val="a3"/>
        <w:sz w:val="24"/>
      </w:rPr>
      <w:instrText xml:space="preserve">PAGE  </w:instrText>
    </w:r>
    <w:r>
      <w:rPr>
        <w:rStyle w:val="a3"/>
        <w:sz w:val="24"/>
      </w:rPr>
      <w:fldChar w:fldCharType="separate"/>
    </w:r>
    <w:r w:rsidR="008903CC">
      <w:rPr>
        <w:rStyle w:val="a3"/>
        <w:noProof/>
        <w:sz w:val="24"/>
      </w:rPr>
      <w:t>3</w:t>
    </w:r>
    <w:r>
      <w:rPr>
        <w:rStyle w:val="a3"/>
        <w:sz w:val="24"/>
      </w:rPr>
      <w:fldChar w:fldCharType="end"/>
    </w:r>
  </w:p>
  <w:p w:rsidR="005B7484" w:rsidRDefault="005B74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B8E" w:rsidRDefault="00903B8E" w:rsidP="00F71ECC">
      <w:r>
        <w:separator/>
      </w:r>
    </w:p>
  </w:footnote>
  <w:footnote w:type="continuationSeparator" w:id="0">
    <w:p w:rsidR="00903B8E" w:rsidRDefault="00903B8E" w:rsidP="00F71E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6806"/>
    <w:multiLevelType w:val="hybridMultilevel"/>
    <w:tmpl w:val="32BE1E9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87E5AA0"/>
    <w:multiLevelType w:val="hybridMultilevel"/>
    <w:tmpl w:val="E1D2F740"/>
    <w:lvl w:ilvl="0" w:tplc="DF1A98CE">
      <w:start w:val="1"/>
      <w:numFmt w:val="decimal"/>
      <w:lvlText w:val="(%1)"/>
      <w:lvlJc w:val="left"/>
      <w:pPr>
        <w:ind w:left="1920" w:hanging="480"/>
      </w:pPr>
      <w:rPr>
        <w:rFonts w:cs="Times New Roman" w:hint="default"/>
      </w:rPr>
    </w:lvl>
    <w:lvl w:ilvl="1" w:tplc="DD406608">
      <w:start w:val="1"/>
      <w:numFmt w:val="decimal"/>
      <w:lvlText w:val="%2."/>
      <w:lvlJc w:val="left"/>
      <w:pPr>
        <w:ind w:left="1275" w:hanging="795"/>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3872FAF"/>
    <w:multiLevelType w:val="hybridMultilevel"/>
    <w:tmpl w:val="F2D804B6"/>
    <w:lvl w:ilvl="0" w:tplc="0409000F">
      <w:start w:val="1"/>
      <w:numFmt w:val="decimal"/>
      <w:lvlText w:val="%1."/>
      <w:lvlJc w:val="left"/>
      <w:pPr>
        <w:ind w:left="984" w:hanging="480"/>
      </w:pPr>
      <w:rPr>
        <w:rFonts w:cs="Times New Roman"/>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3">
    <w:nsid w:val="2A095EDA"/>
    <w:multiLevelType w:val="hybridMultilevel"/>
    <w:tmpl w:val="484A9ED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370F07B5"/>
    <w:multiLevelType w:val="hybridMultilevel"/>
    <w:tmpl w:val="C428BEC6"/>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447C0CCE"/>
    <w:multiLevelType w:val="multilevel"/>
    <w:tmpl w:val="7C9611A2"/>
    <w:lvl w:ilvl="0">
      <w:start w:val="1"/>
      <w:numFmt w:val="decimal"/>
      <w:pStyle w:val="1"/>
      <w:suff w:val="nothing"/>
      <w:lvlText w:val="%1"/>
      <w:lvlJc w:val="left"/>
      <w:pPr>
        <w:ind w:left="425" w:hanging="425"/>
      </w:pPr>
      <w:rPr>
        <w:rFonts w:ascii="Times New Roman" w:eastAsia="標楷體" w:hAnsi="Times New Roman" w:cs="Times New Roman" w:hint="default"/>
        <w:vanish/>
      </w:rPr>
    </w:lvl>
    <w:lvl w:ilvl="1">
      <w:start w:val="1"/>
      <w:numFmt w:val="taiwaneseCountingThousand"/>
      <w:pStyle w:val="2"/>
      <w:suff w:val="nothing"/>
      <w:lvlText w:val="第%2節、"/>
      <w:lvlJc w:val="left"/>
      <w:pPr>
        <w:ind w:left="2694" w:hanging="567"/>
      </w:pPr>
      <w:rPr>
        <w:rFonts w:cs="Times New Roman" w:hint="eastAsia"/>
      </w:rPr>
    </w:lvl>
    <w:lvl w:ilvl="2">
      <w:start w:val="1"/>
      <w:numFmt w:val="taiwaneseCountingThousand"/>
      <w:pStyle w:val="3"/>
      <w:suff w:val="nothing"/>
      <w:lvlText w:val="第%3項"/>
      <w:lvlJc w:val="left"/>
      <w:pPr>
        <w:ind w:left="1418" w:hanging="567"/>
      </w:pPr>
      <w:rPr>
        <w:rFonts w:cs="Times New Roman" w:hint="eastAsia"/>
      </w:rPr>
    </w:lvl>
    <w:lvl w:ilvl="3">
      <w:start w:val="1"/>
      <w:numFmt w:val="none"/>
      <w:pStyle w:val="4"/>
      <w:suff w:val="nothing"/>
      <w:lvlText w:val=""/>
      <w:lvlJc w:val="left"/>
      <w:pPr>
        <w:ind w:left="1984" w:hanging="708"/>
      </w:pPr>
      <w:rPr>
        <w:rFonts w:cs="Times New Roman" w:hint="eastAsia"/>
      </w:rPr>
    </w:lvl>
    <w:lvl w:ilvl="4">
      <w:start w:val="1"/>
      <w:numFmt w:val="none"/>
      <w:pStyle w:val="5"/>
      <w:suff w:val="nothing"/>
      <w:lvlText w:val=""/>
      <w:lvlJc w:val="left"/>
      <w:pPr>
        <w:ind w:left="2551" w:hanging="850"/>
      </w:pPr>
      <w:rPr>
        <w:rFonts w:cs="Times New Roman" w:hint="eastAsia"/>
      </w:rPr>
    </w:lvl>
    <w:lvl w:ilvl="5">
      <w:start w:val="1"/>
      <w:numFmt w:val="none"/>
      <w:pStyle w:val="6"/>
      <w:suff w:val="nothing"/>
      <w:lvlText w:val=""/>
      <w:lvlJc w:val="left"/>
      <w:pPr>
        <w:ind w:left="3260" w:hanging="1134"/>
      </w:pPr>
      <w:rPr>
        <w:rFonts w:cs="Times New Roman" w:hint="eastAsia"/>
      </w:rPr>
    </w:lvl>
    <w:lvl w:ilvl="6">
      <w:start w:val="1"/>
      <w:numFmt w:val="none"/>
      <w:pStyle w:val="7"/>
      <w:suff w:val="nothing"/>
      <w:lvlText w:val=""/>
      <w:lvlJc w:val="left"/>
      <w:pPr>
        <w:ind w:left="3827" w:hanging="1276"/>
      </w:pPr>
      <w:rPr>
        <w:rFonts w:cs="Times New Roman" w:hint="eastAsia"/>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6">
    <w:nsid w:val="50423D53"/>
    <w:multiLevelType w:val="hybridMultilevel"/>
    <w:tmpl w:val="AEF6C85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57AA578B"/>
    <w:multiLevelType w:val="hybridMultilevel"/>
    <w:tmpl w:val="EC4482E8"/>
    <w:lvl w:ilvl="0" w:tplc="46940BEA">
      <w:start w:val="1"/>
      <w:numFmt w:val="taiwaneseCountingThousand"/>
      <w:lvlText w:val="(%1)、"/>
      <w:lvlJc w:val="left"/>
      <w:pPr>
        <w:ind w:left="1046" w:hanging="480"/>
      </w:pPr>
      <w:rPr>
        <w:rFonts w:cs="Times New Roman" w:hint="eastAsia"/>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8">
    <w:nsid w:val="76001F08"/>
    <w:multiLevelType w:val="hybridMultilevel"/>
    <w:tmpl w:val="3894F576"/>
    <w:lvl w:ilvl="0" w:tplc="0409000F">
      <w:start w:val="1"/>
      <w:numFmt w:val="decimal"/>
      <w:lvlText w:val="%1."/>
      <w:lvlJc w:val="left"/>
      <w:pPr>
        <w:ind w:left="984" w:hanging="480"/>
      </w:pPr>
      <w:rPr>
        <w:rFonts w:cs="Times New Roman"/>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9">
    <w:nsid w:val="7A4A45DA"/>
    <w:multiLevelType w:val="hybridMultilevel"/>
    <w:tmpl w:val="F59A954A"/>
    <w:lvl w:ilvl="0" w:tplc="64F6A16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7"/>
  </w:num>
  <w:num w:numId="2">
    <w:abstractNumId w:val="0"/>
  </w:num>
  <w:num w:numId="3">
    <w:abstractNumId w:val="2"/>
  </w:num>
  <w:num w:numId="4">
    <w:abstractNumId w:val="8"/>
  </w:num>
  <w:num w:numId="5">
    <w:abstractNumId w:val="3"/>
  </w:num>
  <w:num w:numId="6">
    <w:abstractNumId w:val="6"/>
  </w:num>
  <w:num w:numId="7">
    <w:abstractNumId w:val="4"/>
  </w:num>
  <w:num w:numId="8">
    <w:abstractNumId w:val="9"/>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1ECC"/>
    <w:rsid w:val="00002724"/>
    <w:rsid w:val="000118E4"/>
    <w:rsid w:val="000936AC"/>
    <w:rsid w:val="00094572"/>
    <w:rsid w:val="001664A3"/>
    <w:rsid w:val="001A6008"/>
    <w:rsid w:val="001B153A"/>
    <w:rsid w:val="001B323F"/>
    <w:rsid w:val="001C6BC7"/>
    <w:rsid w:val="00202814"/>
    <w:rsid w:val="00265474"/>
    <w:rsid w:val="00294B56"/>
    <w:rsid w:val="00355ADC"/>
    <w:rsid w:val="00394D13"/>
    <w:rsid w:val="003A0A56"/>
    <w:rsid w:val="00423B63"/>
    <w:rsid w:val="00474105"/>
    <w:rsid w:val="00512AD5"/>
    <w:rsid w:val="00545888"/>
    <w:rsid w:val="00591DC5"/>
    <w:rsid w:val="005B7484"/>
    <w:rsid w:val="005C25ED"/>
    <w:rsid w:val="005D3914"/>
    <w:rsid w:val="00607FF5"/>
    <w:rsid w:val="006271C4"/>
    <w:rsid w:val="00627765"/>
    <w:rsid w:val="00636217"/>
    <w:rsid w:val="006B48A7"/>
    <w:rsid w:val="006D0808"/>
    <w:rsid w:val="006F4B33"/>
    <w:rsid w:val="006F569B"/>
    <w:rsid w:val="0076546C"/>
    <w:rsid w:val="00772374"/>
    <w:rsid w:val="007979D5"/>
    <w:rsid w:val="007B1DFF"/>
    <w:rsid w:val="007C22AC"/>
    <w:rsid w:val="007C3A91"/>
    <w:rsid w:val="007C6A4F"/>
    <w:rsid w:val="007D0E34"/>
    <w:rsid w:val="007F07DB"/>
    <w:rsid w:val="00806188"/>
    <w:rsid w:val="00826C28"/>
    <w:rsid w:val="008903CC"/>
    <w:rsid w:val="0089710C"/>
    <w:rsid w:val="008D4FA7"/>
    <w:rsid w:val="008E26FB"/>
    <w:rsid w:val="008E68C9"/>
    <w:rsid w:val="00903B8E"/>
    <w:rsid w:val="00A00335"/>
    <w:rsid w:val="00AE636F"/>
    <w:rsid w:val="00B21B42"/>
    <w:rsid w:val="00B3745F"/>
    <w:rsid w:val="00B46B49"/>
    <w:rsid w:val="00BA39E6"/>
    <w:rsid w:val="00BC17C8"/>
    <w:rsid w:val="00BC219B"/>
    <w:rsid w:val="00BD5711"/>
    <w:rsid w:val="00CA33A4"/>
    <w:rsid w:val="00CA5444"/>
    <w:rsid w:val="00CA6333"/>
    <w:rsid w:val="00CC7DB6"/>
    <w:rsid w:val="00CE76D5"/>
    <w:rsid w:val="00D316B1"/>
    <w:rsid w:val="00D5277E"/>
    <w:rsid w:val="00D67D90"/>
    <w:rsid w:val="00D95B0D"/>
    <w:rsid w:val="00DA5F93"/>
    <w:rsid w:val="00E1598E"/>
    <w:rsid w:val="00E907AC"/>
    <w:rsid w:val="00EF44AD"/>
    <w:rsid w:val="00F71ECC"/>
    <w:rsid w:val="00FB0E1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ECC"/>
    <w:pPr>
      <w:widowControl w:val="0"/>
    </w:pPr>
    <w:rPr>
      <w:rFonts w:ascii="Times New Roman" w:hAnsi="Times New Roman"/>
      <w:szCs w:val="24"/>
    </w:rPr>
  </w:style>
  <w:style w:type="paragraph" w:styleId="1">
    <w:name w:val="heading 1"/>
    <w:basedOn w:val="a"/>
    <w:next w:val="a"/>
    <w:link w:val="10"/>
    <w:uiPriority w:val="99"/>
    <w:qFormat/>
    <w:rsid w:val="00D5277E"/>
    <w:pPr>
      <w:numPr>
        <w:numId w:val="9"/>
      </w:numPr>
      <w:adjustRightInd w:val="0"/>
      <w:snapToGrid w:val="0"/>
      <w:spacing w:before="100" w:beforeAutospacing="1" w:after="100" w:afterAutospacing="1" w:line="360" w:lineRule="auto"/>
      <w:jc w:val="center"/>
      <w:outlineLvl w:val="0"/>
    </w:pPr>
    <w:rPr>
      <w:rFonts w:eastAsia="標楷體" w:hAnsi="標楷體"/>
      <w:b/>
      <w:sz w:val="32"/>
      <w:szCs w:val="32"/>
    </w:rPr>
  </w:style>
  <w:style w:type="paragraph" w:styleId="2">
    <w:name w:val="heading 2"/>
    <w:basedOn w:val="a"/>
    <w:next w:val="a"/>
    <w:link w:val="20"/>
    <w:uiPriority w:val="99"/>
    <w:qFormat/>
    <w:rsid w:val="00D5277E"/>
    <w:pPr>
      <w:numPr>
        <w:ilvl w:val="1"/>
        <w:numId w:val="9"/>
      </w:numPr>
      <w:adjustRightInd w:val="0"/>
      <w:snapToGrid w:val="0"/>
      <w:spacing w:before="100" w:beforeAutospacing="1" w:after="100" w:afterAutospacing="1" w:line="360" w:lineRule="auto"/>
      <w:jc w:val="center"/>
      <w:outlineLvl w:val="1"/>
    </w:pPr>
    <w:rPr>
      <w:rFonts w:eastAsia="標楷體" w:hAnsi="標楷體"/>
      <w:b/>
      <w:sz w:val="28"/>
      <w:szCs w:val="28"/>
    </w:rPr>
  </w:style>
  <w:style w:type="paragraph" w:styleId="3">
    <w:name w:val="heading 3"/>
    <w:basedOn w:val="a"/>
    <w:link w:val="30"/>
    <w:uiPriority w:val="99"/>
    <w:qFormat/>
    <w:rsid w:val="00D5277E"/>
    <w:pPr>
      <w:widowControl/>
      <w:numPr>
        <w:ilvl w:val="2"/>
        <w:numId w:val="9"/>
      </w:numPr>
      <w:spacing w:before="225" w:line="360" w:lineRule="auto"/>
      <w:outlineLvl w:val="2"/>
    </w:pPr>
    <w:rPr>
      <w:rFonts w:ascii="Arial Unicode MS" w:eastAsia="Arial Unicode MS" w:hAnsi="Arial Unicode MS" w:cs="Arial Unicode MS"/>
      <w:color w:val="005994"/>
      <w:spacing w:val="15"/>
      <w:kern w:val="0"/>
      <w:sz w:val="20"/>
      <w:szCs w:val="20"/>
    </w:rPr>
  </w:style>
  <w:style w:type="paragraph" w:styleId="4">
    <w:name w:val="heading 4"/>
    <w:basedOn w:val="a"/>
    <w:next w:val="a"/>
    <w:link w:val="40"/>
    <w:uiPriority w:val="99"/>
    <w:qFormat/>
    <w:rsid w:val="00D5277E"/>
    <w:pPr>
      <w:keepNext/>
      <w:numPr>
        <w:ilvl w:val="3"/>
        <w:numId w:val="9"/>
      </w:numPr>
      <w:spacing w:line="720" w:lineRule="auto"/>
      <w:outlineLvl w:val="3"/>
    </w:pPr>
    <w:rPr>
      <w:rFonts w:ascii="Cambria" w:hAnsi="Cambria"/>
      <w:sz w:val="36"/>
      <w:szCs w:val="36"/>
    </w:rPr>
  </w:style>
  <w:style w:type="paragraph" w:styleId="5">
    <w:name w:val="heading 5"/>
    <w:basedOn w:val="a"/>
    <w:next w:val="a"/>
    <w:link w:val="50"/>
    <w:uiPriority w:val="99"/>
    <w:qFormat/>
    <w:rsid w:val="00D5277E"/>
    <w:pPr>
      <w:keepNext/>
      <w:numPr>
        <w:ilvl w:val="4"/>
        <w:numId w:val="9"/>
      </w:numPr>
      <w:spacing w:line="720" w:lineRule="auto"/>
      <w:outlineLvl w:val="4"/>
    </w:pPr>
    <w:rPr>
      <w:rFonts w:ascii="Cambria" w:hAnsi="Cambria"/>
      <w:b/>
      <w:bCs/>
      <w:sz w:val="36"/>
      <w:szCs w:val="36"/>
    </w:rPr>
  </w:style>
  <w:style w:type="paragraph" w:styleId="6">
    <w:name w:val="heading 6"/>
    <w:basedOn w:val="a"/>
    <w:next w:val="a"/>
    <w:link w:val="60"/>
    <w:uiPriority w:val="99"/>
    <w:qFormat/>
    <w:rsid w:val="00D5277E"/>
    <w:pPr>
      <w:keepNext/>
      <w:numPr>
        <w:ilvl w:val="5"/>
        <w:numId w:val="9"/>
      </w:numPr>
      <w:spacing w:line="720" w:lineRule="auto"/>
      <w:outlineLvl w:val="5"/>
    </w:pPr>
    <w:rPr>
      <w:rFonts w:ascii="Cambria" w:hAnsi="Cambria"/>
      <w:sz w:val="36"/>
      <w:szCs w:val="36"/>
    </w:rPr>
  </w:style>
  <w:style w:type="paragraph" w:styleId="7">
    <w:name w:val="heading 7"/>
    <w:basedOn w:val="a"/>
    <w:next w:val="a"/>
    <w:link w:val="70"/>
    <w:uiPriority w:val="99"/>
    <w:qFormat/>
    <w:rsid w:val="00D5277E"/>
    <w:pPr>
      <w:keepNext/>
      <w:numPr>
        <w:ilvl w:val="6"/>
        <w:numId w:val="9"/>
      </w:numPr>
      <w:spacing w:line="720" w:lineRule="auto"/>
      <w:outlineLvl w:val="6"/>
    </w:pPr>
    <w:rPr>
      <w:rFonts w:ascii="Cambria" w:hAnsi="Cambria"/>
      <w:b/>
      <w:bCs/>
      <w:sz w:val="36"/>
      <w:szCs w:val="36"/>
    </w:rPr>
  </w:style>
  <w:style w:type="paragraph" w:styleId="8">
    <w:name w:val="heading 8"/>
    <w:basedOn w:val="a"/>
    <w:next w:val="a"/>
    <w:link w:val="80"/>
    <w:uiPriority w:val="99"/>
    <w:qFormat/>
    <w:rsid w:val="00D5277E"/>
    <w:pPr>
      <w:keepNext/>
      <w:numPr>
        <w:ilvl w:val="7"/>
        <w:numId w:val="9"/>
      </w:numPr>
      <w:spacing w:line="720" w:lineRule="auto"/>
      <w:outlineLvl w:val="7"/>
    </w:pPr>
    <w:rPr>
      <w:rFonts w:ascii="Cambria" w:hAnsi="Cambria"/>
      <w:sz w:val="36"/>
      <w:szCs w:val="36"/>
    </w:rPr>
  </w:style>
  <w:style w:type="paragraph" w:styleId="9">
    <w:name w:val="heading 9"/>
    <w:basedOn w:val="a"/>
    <w:next w:val="a"/>
    <w:link w:val="90"/>
    <w:uiPriority w:val="99"/>
    <w:qFormat/>
    <w:rsid w:val="00D5277E"/>
    <w:pPr>
      <w:keepNext/>
      <w:numPr>
        <w:ilvl w:val="8"/>
        <w:numId w:val="9"/>
      </w:numPr>
      <w:spacing w:line="720" w:lineRule="auto"/>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D5277E"/>
    <w:rPr>
      <w:rFonts w:ascii="Times New Roman" w:eastAsia="標楷體" w:hAnsi="標楷體" w:cs="Times New Roman"/>
      <w:b/>
      <w:sz w:val="32"/>
      <w:szCs w:val="32"/>
    </w:rPr>
  </w:style>
  <w:style w:type="character" w:customStyle="1" w:styleId="20">
    <w:name w:val="標題 2 字元"/>
    <w:basedOn w:val="a0"/>
    <w:link w:val="2"/>
    <w:uiPriority w:val="99"/>
    <w:locked/>
    <w:rsid w:val="00D5277E"/>
    <w:rPr>
      <w:rFonts w:ascii="Times New Roman" w:eastAsia="標楷體" w:hAnsi="標楷體" w:cs="Times New Roman"/>
      <w:b/>
      <w:sz w:val="28"/>
      <w:szCs w:val="28"/>
    </w:rPr>
  </w:style>
  <w:style w:type="character" w:customStyle="1" w:styleId="30">
    <w:name w:val="標題 3 字元"/>
    <w:basedOn w:val="a0"/>
    <w:link w:val="3"/>
    <w:uiPriority w:val="99"/>
    <w:locked/>
    <w:rsid w:val="00D5277E"/>
    <w:rPr>
      <w:rFonts w:ascii="Arial Unicode MS" w:eastAsia="Arial Unicode MS" w:hAnsi="Arial Unicode MS" w:cs="Arial Unicode MS"/>
      <w:color w:val="005994"/>
      <w:spacing w:val="15"/>
      <w:kern w:val="0"/>
      <w:sz w:val="20"/>
      <w:szCs w:val="20"/>
    </w:rPr>
  </w:style>
  <w:style w:type="character" w:customStyle="1" w:styleId="40">
    <w:name w:val="標題 4 字元"/>
    <w:basedOn w:val="a0"/>
    <w:link w:val="4"/>
    <w:uiPriority w:val="99"/>
    <w:semiHidden/>
    <w:locked/>
    <w:rsid w:val="00D5277E"/>
    <w:rPr>
      <w:rFonts w:ascii="Cambria" w:eastAsia="新細明體" w:hAnsi="Cambria" w:cs="Times New Roman"/>
      <w:sz w:val="36"/>
      <w:szCs w:val="36"/>
    </w:rPr>
  </w:style>
  <w:style w:type="character" w:customStyle="1" w:styleId="50">
    <w:name w:val="標題 5 字元"/>
    <w:basedOn w:val="a0"/>
    <w:link w:val="5"/>
    <w:uiPriority w:val="99"/>
    <w:semiHidden/>
    <w:locked/>
    <w:rsid w:val="00D5277E"/>
    <w:rPr>
      <w:rFonts w:ascii="Cambria" w:eastAsia="新細明體" w:hAnsi="Cambria" w:cs="Times New Roman"/>
      <w:b/>
      <w:bCs/>
      <w:sz w:val="36"/>
      <w:szCs w:val="36"/>
    </w:rPr>
  </w:style>
  <w:style w:type="character" w:customStyle="1" w:styleId="60">
    <w:name w:val="標題 6 字元"/>
    <w:basedOn w:val="a0"/>
    <w:link w:val="6"/>
    <w:uiPriority w:val="99"/>
    <w:semiHidden/>
    <w:locked/>
    <w:rsid w:val="00D5277E"/>
    <w:rPr>
      <w:rFonts w:ascii="Cambria" w:eastAsia="新細明體" w:hAnsi="Cambria" w:cs="Times New Roman"/>
      <w:sz w:val="36"/>
      <w:szCs w:val="36"/>
    </w:rPr>
  </w:style>
  <w:style w:type="character" w:customStyle="1" w:styleId="70">
    <w:name w:val="標題 7 字元"/>
    <w:basedOn w:val="a0"/>
    <w:link w:val="7"/>
    <w:uiPriority w:val="99"/>
    <w:semiHidden/>
    <w:locked/>
    <w:rsid w:val="00D5277E"/>
    <w:rPr>
      <w:rFonts w:ascii="Cambria" w:eastAsia="新細明體" w:hAnsi="Cambria" w:cs="Times New Roman"/>
      <w:b/>
      <w:bCs/>
      <w:sz w:val="36"/>
      <w:szCs w:val="36"/>
    </w:rPr>
  </w:style>
  <w:style w:type="character" w:customStyle="1" w:styleId="80">
    <w:name w:val="標題 8 字元"/>
    <w:basedOn w:val="a0"/>
    <w:link w:val="8"/>
    <w:uiPriority w:val="99"/>
    <w:semiHidden/>
    <w:locked/>
    <w:rsid w:val="00D5277E"/>
    <w:rPr>
      <w:rFonts w:ascii="Cambria" w:eastAsia="新細明體" w:hAnsi="Cambria" w:cs="Times New Roman"/>
      <w:sz w:val="36"/>
      <w:szCs w:val="36"/>
    </w:rPr>
  </w:style>
  <w:style w:type="character" w:customStyle="1" w:styleId="90">
    <w:name w:val="標題 9 字元"/>
    <w:basedOn w:val="a0"/>
    <w:link w:val="9"/>
    <w:uiPriority w:val="99"/>
    <w:semiHidden/>
    <w:locked/>
    <w:rsid w:val="00D5277E"/>
    <w:rPr>
      <w:rFonts w:ascii="Cambria" w:eastAsia="新細明體" w:hAnsi="Cambria" w:cs="Times New Roman"/>
      <w:sz w:val="36"/>
      <w:szCs w:val="36"/>
    </w:rPr>
  </w:style>
  <w:style w:type="character" w:styleId="a3">
    <w:name w:val="page number"/>
    <w:basedOn w:val="a0"/>
    <w:uiPriority w:val="99"/>
    <w:rsid w:val="00F71ECC"/>
    <w:rPr>
      <w:rFonts w:cs="Times New Roman"/>
    </w:rPr>
  </w:style>
  <w:style w:type="paragraph" w:styleId="a4">
    <w:name w:val="footnote text"/>
    <w:basedOn w:val="a"/>
    <w:link w:val="a5"/>
    <w:uiPriority w:val="99"/>
    <w:semiHidden/>
    <w:rsid w:val="00F71ECC"/>
    <w:pPr>
      <w:snapToGrid w:val="0"/>
    </w:pPr>
    <w:rPr>
      <w:sz w:val="20"/>
      <w:szCs w:val="20"/>
    </w:rPr>
  </w:style>
  <w:style w:type="character" w:customStyle="1" w:styleId="a5">
    <w:name w:val="註腳文字 字元"/>
    <w:basedOn w:val="a0"/>
    <w:link w:val="a4"/>
    <w:uiPriority w:val="99"/>
    <w:semiHidden/>
    <w:locked/>
    <w:rsid w:val="00F71ECC"/>
    <w:rPr>
      <w:rFonts w:ascii="Times New Roman" w:eastAsia="新細明體" w:hAnsi="Times New Roman" w:cs="Times New Roman"/>
      <w:sz w:val="20"/>
      <w:szCs w:val="20"/>
    </w:rPr>
  </w:style>
  <w:style w:type="character" w:styleId="a6">
    <w:name w:val="footnote reference"/>
    <w:basedOn w:val="a0"/>
    <w:uiPriority w:val="99"/>
    <w:semiHidden/>
    <w:rsid w:val="00F71ECC"/>
    <w:rPr>
      <w:rFonts w:cs="Times New Roman"/>
      <w:vertAlign w:val="superscript"/>
    </w:rPr>
  </w:style>
  <w:style w:type="paragraph" w:styleId="a7">
    <w:name w:val="footer"/>
    <w:basedOn w:val="a"/>
    <w:link w:val="a8"/>
    <w:uiPriority w:val="99"/>
    <w:rsid w:val="00F71ECC"/>
    <w:pPr>
      <w:tabs>
        <w:tab w:val="center" w:pos="4153"/>
        <w:tab w:val="right" w:pos="8306"/>
      </w:tabs>
      <w:snapToGrid w:val="0"/>
    </w:pPr>
    <w:rPr>
      <w:sz w:val="20"/>
      <w:szCs w:val="20"/>
    </w:rPr>
  </w:style>
  <w:style w:type="character" w:customStyle="1" w:styleId="a8">
    <w:name w:val="頁尾 字元"/>
    <w:basedOn w:val="a0"/>
    <w:link w:val="a7"/>
    <w:uiPriority w:val="99"/>
    <w:locked/>
    <w:rsid w:val="00F71ECC"/>
    <w:rPr>
      <w:rFonts w:ascii="Times New Roman" w:eastAsia="新細明體" w:hAnsi="Times New Roman" w:cs="Times New Roman"/>
      <w:sz w:val="20"/>
      <w:szCs w:val="20"/>
    </w:rPr>
  </w:style>
  <w:style w:type="paragraph" w:styleId="a9">
    <w:name w:val="List Paragraph"/>
    <w:basedOn w:val="a"/>
    <w:link w:val="aa"/>
    <w:uiPriority w:val="99"/>
    <w:qFormat/>
    <w:rsid w:val="00806188"/>
    <w:pPr>
      <w:ind w:leftChars="200" w:left="480"/>
    </w:pPr>
  </w:style>
  <w:style w:type="character" w:customStyle="1" w:styleId="aa">
    <w:name w:val="清單段落 字元"/>
    <w:basedOn w:val="a0"/>
    <w:link w:val="a9"/>
    <w:uiPriority w:val="99"/>
    <w:locked/>
    <w:rsid w:val="00806188"/>
    <w:rPr>
      <w:rFonts w:ascii="Times New Roman" w:eastAsia="新細明體" w:hAnsi="Times New Roman" w:cs="Times New Roman"/>
      <w:sz w:val="24"/>
      <w:szCs w:val="24"/>
    </w:rPr>
  </w:style>
  <w:style w:type="paragraph" w:styleId="ab">
    <w:name w:val="header"/>
    <w:basedOn w:val="a"/>
    <w:link w:val="ac"/>
    <w:uiPriority w:val="99"/>
    <w:semiHidden/>
    <w:rsid w:val="00B21B42"/>
    <w:pPr>
      <w:tabs>
        <w:tab w:val="center" w:pos="4153"/>
        <w:tab w:val="right" w:pos="8306"/>
      </w:tabs>
      <w:snapToGrid w:val="0"/>
    </w:pPr>
    <w:rPr>
      <w:sz w:val="20"/>
      <w:szCs w:val="20"/>
    </w:rPr>
  </w:style>
  <w:style w:type="character" w:customStyle="1" w:styleId="ac">
    <w:name w:val="頁首 字元"/>
    <w:basedOn w:val="a0"/>
    <w:link w:val="ab"/>
    <w:uiPriority w:val="99"/>
    <w:semiHidden/>
    <w:locked/>
    <w:rsid w:val="00B21B42"/>
    <w:rPr>
      <w:rFonts w:ascii="Times New Roman" w:eastAsia="新細明體" w:hAnsi="Times New Roman" w:cs="Times New Roman"/>
      <w:sz w:val="20"/>
      <w:szCs w:val="20"/>
    </w:rPr>
  </w:style>
  <w:style w:type="character" w:customStyle="1" w:styleId="newscontent">
    <w:name w:val="news_content"/>
    <w:basedOn w:val="a0"/>
    <w:uiPriority w:val="99"/>
    <w:rsid w:val="00636217"/>
    <w:rPr>
      <w:rFonts w:cs="Times New Roman"/>
    </w:rPr>
  </w:style>
  <w:style w:type="paragraph" w:customStyle="1" w:styleId="xl24">
    <w:name w:val="xl24"/>
    <w:basedOn w:val="a"/>
    <w:uiPriority w:val="99"/>
    <w:rsid w:val="00D5277E"/>
    <w:pPr>
      <w:widowControl/>
      <w:spacing w:before="100" w:beforeAutospacing="1" w:after="100" w:afterAutospacing="1"/>
      <w:jc w:val="center"/>
    </w:pPr>
    <w:rPr>
      <w:rFonts w:ascii="Arial Unicode MS" w:eastAsia="Arial Unicode MS" w:hAnsi="Arial Unicode MS" w:cs="Arial Unicode MS"/>
      <w:kern w:val="0"/>
    </w:rPr>
  </w:style>
  <w:style w:type="paragraph" w:styleId="Web">
    <w:name w:val="Normal (Web)"/>
    <w:basedOn w:val="a"/>
    <w:uiPriority w:val="99"/>
    <w:rsid w:val="00B374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臺灣期貨交易所</dc:title>
  <dc:creator>Long</dc:creator>
  <cp:lastModifiedBy>erichsiung</cp:lastModifiedBy>
  <cp:revision>4</cp:revision>
  <cp:lastPrinted>2015-03-13T06:23:00Z</cp:lastPrinted>
  <dcterms:created xsi:type="dcterms:W3CDTF">2015-03-11T06:28:00Z</dcterms:created>
  <dcterms:modified xsi:type="dcterms:W3CDTF">2015-03-18T02:18:00Z</dcterms:modified>
</cp:coreProperties>
</file>