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5683"/>
        <w:gridCol w:w="796"/>
        <w:gridCol w:w="1621"/>
      </w:tblGrid>
      <w:tr w:rsidR="005B7484" w:rsidTr="00045B58">
        <w:trPr>
          <w:trHeight w:val="878"/>
        </w:trPr>
        <w:tc>
          <w:tcPr>
            <w:tcW w:w="6583" w:type="dxa"/>
            <w:gridSpan w:val="2"/>
            <w:vAlign w:val="center"/>
          </w:tcPr>
          <w:p w:rsidR="005B7484" w:rsidRDefault="005B7484" w:rsidP="00A00335">
            <w:pPr>
              <w:snapToGrid w:val="0"/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臺灣期貨交易所</w:t>
            </w:r>
          </w:p>
          <w:p w:rsidR="005B7484" w:rsidRDefault="008E49D0" w:rsidP="007D0E34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32"/>
                <w:szCs w:val="32"/>
              </w:rPr>
              <w:t>104</w:t>
            </w:r>
            <w:proofErr w:type="gramEnd"/>
            <w:r w:rsidR="005B7484">
              <w:rPr>
                <w:rFonts w:eastAsia="標楷體" w:hint="eastAsia"/>
                <w:sz w:val="32"/>
                <w:szCs w:val="32"/>
              </w:rPr>
              <w:t>年度委外研究報告提要表</w:t>
            </w:r>
          </w:p>
        </w:tc>
        <w:tc>
          <w:tcPr>
            <w:tcW w:w="2417" w:type="dxa"/>
            <w:gridSpan w:val="2"/>
          </w:tcPr>
          <w:p w:rsidR="005B7484" w:rsidRDefault="008E49D0" w:rsidP="00A00335">
            <w:pPr>
              <w:widowControl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填表人：賴</w:t>
            </w:r>
            <w:r w:rsidR="00462F28">
              <w:rPr>
                <w:rFonts w:eastAsia="標楷體" w:hint="eastAsia"/>
                <w:sz w:val="28"/>
              </w:rPr>
              <w:t>慧文</w:t>
            </w:r>
          </w:p>
          <w:p w:rsidR="005B7484" w:rsidRDefault="005B7484" w:rsidP="007D0E34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填表日期：</w:t>
            </w:r>
            <w:r w:rsidR="008E49D0">
              <w:rPr>
                <w:rFonts w:eastAsia="標楷體"/>
                <w:sz w:val="28"/>
              </w:rPr>
              <w:t>105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月</w:t>
            </w:r>
            <w:r w:rsidR="008E49D0">
              <w:rPr>
                <w:rFonts w:eastAsia="標楷體"/>
                <w:sz w:val="28"/>
              </w:rPr>
              <w:t>24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5B7484" w:rsidTr="00045B58">
        <w:trPr>
          <w:trHeight w:val="643"/>
        </w:trPr>
        <w:tc>
          <w:tcPr>
            <w:tcW w:w="900" w:type="dxa"/>
          </w:tcPr>
          <w:p w:rsidR="005B7484" w:rsidRDefault="005B7484" w:rsidP="00A0033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</w:t>
            </w:r>
          </w:p>
          <w:p w:rsidR="005B7484" w:rsidRDefault="005B7484" w:rsidP="00A0033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8100" w:type="dxa"/>
            <w:gridSpan w:val="3"/>
            <w:vAlign w:val="center"/>
          </w:tcPr>
          <w:p w:rsidR="00462F28" w:rsidRPr="00462F28" w:rsidRDefault="00462F28" w:rsidP="00462F28">
            <w:pPr>
              <w:widowControl/>
              <w:spacing w:line="36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462F28">
              <w:rPr>
                <w:rFonts w:eastAsia="標楷體"/>
                <w:b/>
                <w:bCs/>
                <w:sz w:val="28"/>
                <w:szCs w:val="28"/>
              </w:rPr>
              <w:t>臺</w:t>
            </w:r>
            <w:proofErr w:type="gramEnd"/>
            <w:r w:rsidRPr="00462F28">
              <w:rPr>
                <w:rFonts w:eastAsia="標楷體"/>
                <w:b/>
                <w:bCs/>
                <w:sz w:val="28"/>
                <w:szCs w:val="28"/>
              </w:rPr>
              <w:t>股期貨及</w:t>
            </w:r>
            <w:proofErr w:type="gramStart"/>
            <w:r w:rsidRPr="00462F28">
              <w:rPr>
                <w:rFonts w:eastAsia="標楷體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462F28">
              <w:rPr>
                <w:rFonts w:eastAsia="標楷體" w:hint="eastAsia"/>
                <w:b/>
                <w:bCs/>
                <w:sz w:val="28"/>
                <w:szCs w:val="28"/>
              </w:rPr>
              <w:t>指選擇權</w:t>
            </w:r>
            <w:r w:rsidRPr="00462F28">
              <w:rPr>
                <w:rFonts w:eastAsia="標楷體"/>
                <w:b/>
                <w:bCs/>
                <w:sz w:val="28"/>
                <w:szCs w:val="28"/>
              </w:rPr>
              <w:t>之價格發現、對</w:t>
            </w:r>
            <w:proofErr w:type="gramStart"/>
            <w:r w:rsidRPr="00462F28">
              <w:rPr>
                <w:rFonts w:eastAsia="標楷體"/>
                <w:b/>
                <w:bCs/>
                <w:sz w:val="28"/>
                <w:szCs w:val="28"/>
              </w:rPr>
              <w:t>臺</w:t>
            </w:r>
            <w:proofErr w:type="gramEnd"/>
            <w:r w:rsidRPr="00462F28">
              <w:rPr>
                <w:rFonts w:eastAsia="標楷體"/>
                <w:b/>
                <w:bCs/>
                <w:sz w:val="28"/>
                <w:szCs w:val="28"/>
              </w:rPr>
              <w:t>股指數波動度影響及對共同基金績效影響之研究</w:t>
            </w:r>
          </w:p>
          <w:p w:rsidR="005B7484" w:rsidRPr="00462F28" w:rsidRDefault="005B7484" w:rsidP="00A00335">
            <w:pPr>
              <w:widowControl/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B7484" w:rsidTr="00045B58">
        <w:trPr>
          <w:trHeight w:val="1564"/>
        </w:trPr>
        <w:tc>
          <w:tcPr>
            <w:tcW w:w="900" w:type="dxa"/>
            <w:vAlign w:val="center"/>
          </w:tcPr>
          <w:p w:rsidR="005B7484" w:rsidRDefault="005B7484" w:rsidP="00A00335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</w:t>
            </w:r>
          </w:p>
          <w:p w:rsidR="005B7484" w:rsidRDefault="005B7484" w:rsidP="00A00335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  <w:p w:rsidR="005B7484" w:rsidRDefault="005B7484" w:rsidP="00A00335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及人員</w:t>
            </w:r>
          </w:p>
        </w:tc>
        <w:tc>
          <w:tcPr>
            <w:tcW w:w="5683" w:type="dxa"/>
            <w:vAlign w:val="center"/>
          </w:tcPr>
          <w:p w:rsidR="005B7484" w:rsidRDefault="005B7484" w:rsidP="00A00335">
            <w:pPr>
              <w:widowControl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6A4F">
              <w:rPr>
                <w:rFonts w:eastAsia="標楷體" w:hint="eastAsia"/>
                <w:sz w:val="28"/>
                <w:szCs w:val="28"/>
              </w:rPr>
              <w:t>研究單位：</w:t>
            </w:r>
            <w:r w:rsidR="00462F28" w:rsidRPr="00462F28">
              <w:rPr>
                <w:rFonts w:eastAsia="標楷體"/>
                <w:sz w:val="28"/>
                <w:szCs w:val="28"/>
              </w:rPr>
              <w:t>國立臺灣師範大學企業管理系先進管理創新研究中心</w:t>
            </w:r>
          </w:p>
          <w:p w:rsidR="00365FA7" w:rsidRPr="00462F28" w:rsidRDefault="00365FA7" w:rsidP="00A00335">
            <w:pPr>
              <w:widowControl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462F28" w:rsidRPr="00462F28" w:rsidRDefault="00462F28" w:rsidP="00462F28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462F28">
              <w:rPr>
                <w:rFonts w:eastAsia="標楷體"/>
                <w:sz w:val="28"/>
                <w:szCs w:val="28"/>
              </w:rPr>
              <w:t>計畫主持人：賴慧文</w:t>
            </w:r>
            <w:r w:rsidRPr="00462F28">
              <w:rPr>
                <w:rFonts w:eastAsia="標楷體"/>
                <w:sz w:val="28"/>
                <w:szCs w:val="28"/>
              </w:rPr>
              <w:t xml:space="preserve"> </w:t>
            </w:r>
            <w:r w:rsidRPr="00462F28">
              <w:rPr>
                <w:rFonts w:eastAsia="標楷體"/>
                <w:sz w:val="28"/>
                <w:szCs w:val="28"/>
              </w:rPr>
              <w:t>副教授</w:t>
            </w:r>
          </w:p>
          <w:p w:rsidR="00462F28" w:rsidRPr="00462F28" w:rsidRDefault="00462F28" w:rsidP="00462F28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462F28">
              <w:rPr>
                <w:rFonts w:eastAsia="標楷體"/>
                <w:sz w:val="28"/>
                <w:szCs w:val="28"/>
              </w:rPr>
              <w:t>共同主持人：周世玉</w:t>
            </w:r>
            <w:r w:rsidRPr="00462F28">
              <w:rPr>
                <w:rFonts w:eastAsia="標楷體"/>
                <w:sz w:val="28"/>
                <w:szCs w:val="28"/>
              </w:rPr>
              <w:t xml:space="preserve"> </w:t>
            </w:r>
            <w:r w:rsidRPr="00462F28">
              <w:rPr>
                <w:rFonts w:eastAsia="標楷體"/>
                <w:sz w:val="28"/>
                <w:szCs w:val="28"/>
              </w:rPr>
              <w:t>教授</w:t>
            </w:r>
          </w:p>
          <w:p w:rsidR="00462F28" w:rsidRPr="00462F28" w:rsidRDefault="00462F28" w:rsidP="00462F28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462F28">
              <w:rPr>
                <w:rFonts w:eastAsia="標楷體"/>
                <w:sz w:val="28"/>
                <w:szCs w:val="28"/>
              </w:rPr>
              <w:t>共同主持人：周德瑋</w:t>
            </w:r>
            <w:r w:rsidRPr="00462F28">
              <w:rPr>
                <w:rFonts w:eastAsia="標楷體"/>
                <w:sz w:val="28"/>
                <w:szCs w:val="28"/>
              </w:rPr>
              <w:t xml:space="preserve"> </w:t>
            </w:r>
            <w:r w:rsidRPr="00462F28">
              <w:rPr>
                <w:rFonts w:eastAsia="標楷體"/>
                <w:sz w:val="28"/>
                <w:szCs w:val="28"/>
              </w:rPr>
              <w:t>教授</w:t>
            </w:r>
          </w:p>
          <w:p w:rsidR="00462F28" w:rsidRPr="00462F28" w:rsidRDefault="00462F28" w:rsidP="00462F28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462F28">
              <w:rPr>
                <w:rFonts w:eastAsia="標楷體"/>
                <w:sz w:val="28"/>
                <w:szCs w:val="28"/>
              </w:rPr>
              <w:t>共同主持人：詹佳</w:t>
            </w:r>
            <w:proofErr w:type="gramStart"/>
            <w:r w:rsidRPr="00462F28">
              <w:rPr>
                <w:rFonts w:eastAsia="標楷體"/>
                <w:sz w:val="28"/>
                <w:szCs w:val="28"/>
              </w:rPr>
              <w:t>縈</w:t>
            </w:r>
            <w:proofErr w:type="gramEnd"/>
            <w:r w:rsidRPr="00462F28">
              <w:rPr>
                <w:rFonts w:eastAsia="標楷體"/>
                <w:sz w:val="28"/>
                <w:szCs w:val="28"/>
              </w:rPr>
              <w:t xml:space="preserve"> </w:t>
            </w:r>
            <w:r w:rsidRPr="00462F28">
              <w:rPr>
                <w:rFonts w:eastAsia="標楷體"/>
                <w:sz w:val="28"/>
                <w:szCs w:val="28"/>
              </w:rPr>
              <w:t>副教授</w:t>
            </w:r>
          </w:p>
          <w:p w:rsidR="00462F28" w:rsidRPr="00462F28" w:rsidRDefault="00462F28" w:rsidP="00462F28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462F28">
              <w:rPr>
                <w:rFonts w:eastAsia="標楷體"/>
                <w:sz w:val="28"/>
                <w:szCs w:val="28"/>
              </w:rPr>
              <w:t>共同主持人：王銘駿</w:t>
            </w:r>
            <w:r w:rsidRPr="00462F28">
              <w:rPr>
                <w:rFonts w:eastAsia="標楷體"/>
                <w:sz w:val="28"/>
                <w:szCs w:val="28"/>
              </w:rPr>
              <w:t xml:space="preserve"> </w:t>
            </w:r>
            <w:r w:rsidRPr="00462F28">
              <w:rPr>
                <w:rFonts w:eastAsia="標楷體"/>
                <w:sz w:val="28"/>
                <w:szCs w:val="28"/>
              </w:rPr>
              <w:t>副教授</w:t>
            </w:r>
          </w:p>
          <w:p w:rsidR="005B7484" w:rsidRPr="00462F28" w:rsidRDefault="005B7484" w:rsidP="00D316B1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5B7484" w:rsidRDefault="005B7484" w:rsidP="00A00335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</w:t>
            </w:r>
          </w:p>
          <w:p w:rsidR="005B7484" w:rsidRDefault="005B7484" w:rsidP="00A00335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1621" w:type="dxa"/>
            <w:vAlign w:val="center"/>
          </w:tcPr>
          <w:p w:rsidR="005B7484" w:rsidRDefault="005B7484" w:rsidP="000936AC">
            <w:pPr>
              <w:widowControl/>
              <w:spacing w:line="360" w:lineRule="exac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</w:rPr>
              <w:t>自</w:t>
            </w:r>
            <w:r w:rsidR="00462F28">
              <w:rPr>
                <w:rFonts w:eastAsia="標楷體"/>
                <w:sz w:val="28"/>
              </w:rPr>
              <w:t>10</w:t>
            </w:r>
            <w:r w:rsidR="00462F28"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 w:hint="eastAsia"/>
                <w:sz w:val="28"/>
              </w:rPr>
              <w:t>月</w:t>
            </w:r>
            <w:r w:rsidR="00462F28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日至</w:t>
            </w:r>
            <w:r w:rsidR="00462F28">
              <w:rPr>
                <w:rFonts w:eastAsia="標楷體"/>
                <w:sz w:val="28"/>
              </w:rPr>
              <w:t>10</w:t>
            </w:r>
            <w:r w:rsidR="00462F28"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>年</w:t>
            </w:r>
            <w:r w:rsidR="00462F28"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月</w:t>
            </w:r>
            <w:r w:rsidR="00462F28">
              <w:rPr>
                <w:rFonts w:eastAsia="標楷體" w:hint="eastAsia"/>
                <w:sz w:val="28"/>
              </w:rPr>
              <w:t>29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5B7484" w:rsidTr="00045B58">
        <w:trPr>
          <w:cantSplit/>
        </w:trPr>
        <w:tc>
          <w:tcPr>
            <w:tcW w:w="9000" w:type="dxa"/>
            <w:gridSpan w:val="4"/>
          </w:tcPr>
          <w:p w:rsidR="005B7484" w:rsidRDefault="005B7484" w:rsidP="00A00335">
            <w:pPr>
              <w:snapToGrid w:val="0"/>
              <w:spacing w:line="500" w:lineRule="atLeast"/>
              <w:ind w:rightChars="213" w:right="511" w:firstLineChars="182" w:firstLine="51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報告內容提要</w:t>
            </w:r>
          </w:p>
        </w:tc>
      </w:tr>
      <w:tr w:rsidR="005B7484" w:rsidTr="00DF23CD">
        <w:trPr>
          <w:trHeight w:val="699"/>
        </w:trPr>
        <w:tc>
          <w:tcPr>
            <w:tcW w:w="9000" w:type="dxa"/>
            <w:gridSpan w:val="4"/>
          </w:tcPr>
          <w:p w:rsidR="005B7484" w:rsidRPr="00AF4AB0" w:rsidRDefault="005B7484" w:rsidP="00DF23CD">
            <w:pPr>
              <w:pStyle w:val="a9"/>
              <w:numPr>
                <w:ilvl w:val="0"/>
                <w:numId w:val="12"/>
              </w:numPr>
              <w:adjustRightInd w:val="0"/>
              <w:snapToGrid w:val="0"/>
              <w:spacing w:beforeLines="50" w:before="180" w:line="360" w:lineRule="auto"/>
              <w:ind w:leftChars="0" w:left="765"/>
              <w:jc w:val="both"/>
              <w:rPr>
                <w:rFonts w:eastAsia="標楷體" w:hAnsi="標楷體"/>
                <w:sz w:val="28"/>
              </w:rPr>
            </w:pPr>
            <w:r w:rsidRPr="00AF4AB0">
              <w:rPr>
                <w:rFonts w:eastAsia="標楷體" w:hAnsi="標楷體" w:hint="eastAsia"/>
                <w:sz w:val="28"/>
              </w:rPr>
              <w:t>研究內容重點：</w:t>
            </w:r>
          </w:p>
          <w:p w:rsidR="00AF4AB0" w:rsidRPr="00AF4AB0" w:rsidRDefault="00AF4AB0" w:rsidP="009B0189">
            <w:pPr>
              <w:adjustRightInd w:val="0"/>
              <w:snapToGrid w:val="0"/>
              <w:spacing w:line="360" w:lineRule="auto"/>
              <w:ind w:left="45" w:firstLineChars="100" w:firstLine="240"/>
              <w:jc w:val="both"/>
              <w:rPr>
                <w:rFonts w:eastAsia="標楷體" w:hAnsi="標楷體"/>
              </w:rPr>
            </w:pPr>
            <w:r w:rsidRPr="00AF4AB0">
              <w:rPr>
                <w:rFonts w:eastAsia="標楷體" w:hAnsi="標楷體" w:hint="eastAsia"/>
                <w:b/>
              </w:rPr>
              <w:t>一、</w:t>
            </w:r>
            <w:proofErr w:type="gramStart"/>
            <w:r w:rsidRPr="00AF4AB0">
              <w:rPr>
                <w:rFonts w:eastAsia="標楷體"/>
                <w:bCs/>
              </w:rPr>
              <w:t>臺</w:t>
            </w:r>
            <w:proofErr w:type="gramEnd"/>
            <w:r w:rsidRPr="00AF4AB0">
              <w:rPr>
                <w:rFonts w:eastAsia="標楷體"/>
                <w:bCs/>
              </w:rPr>
              <w:t>股期貨及</w:t>
            </w:r>
            <w:proofErr w:type="gramStart"/>
            <w:r w:rsidRPr="00AF4AB0">
              <w:rPr>
                <w:rFonts w:eastAsia="標楷體" w:hint="eastAsia"/>
                <w:bCs/>
              </w:rPr>
              <w:t>臺</w:t>
            </w:r>
            <w:proofErr w:type="gramEnd"/>
            <w:r w:rsidRPr="00AF4AB0">
              <w:rPr>
                <w:rFonts w:eastAsia="標楷體" w:hint="eastAsia"/>
                <w:bCs/>
              </w:rPr>
              <w:t>指選擇權</w:t>
            </w:r>
            <w:r w:rsidRPr="00AF4AB0">
              <w:rPr>
                <w:rFonts w:eastAsia="標楷體"/>
                <w:bCs/>
              </w:rPr>
              <w:t>之價格發現、對</w:t>
            </w:r>
            <w:proofErr w:type="gramStart"/>
            <w:r w:rsidRPr="00AF4AB0">
              <w:rPr>
                <w:rFonts w:eastAsia="標楷體"/>
                <w:bCs/>
              </w:rPr>
              <w:t>臺</w:t>
            </w:r>
            <w:proofErr w:type="gramEnd"/>
            <w:r w:rsidRPr="00AF4AB0">
              <w:rPr>
                <w:rFonts w:eastAsia="標楷體"/>
                <w:bCs/>
              </w:rPr>
              <w:t>股指數波動度影響</w:t>
            </w:r>
          </w:p>
          <w:p w:rsidR="00462F28" w:rsidRDefault="00AF4AB0" w:rsidP="001C7E94">
            <w:pPr>
              <w:widowControl/>
              <w:adjustRightInd w:val="0"/>
              <w:snapToGrid w:val="0"/>
              <w:spacing w:line="360" w:lineRule="auto"/>
              <w:ind w:leftChars="242" w:left="581" w:firstLineChars="204" w:firstLine="490"/>
              <w:jc w:val="both"/>
              <w:rPr>
                <w:rFonts w:eastAsia="標楷體"/>
              </w:rPr>
            </w:pPr>
            <w:r w:rsidRPr="001C7E94">
              <w:rPr>
                <w:rFonts w:eastAsia="標楷體" w:hint="eastAsia"/>
              </w:rPr>
              <w:t>本研究</w:t>
            </w:r>
            <w:r w:rsidR="00462F28" w:rsidRPr="001C7E94">
              <w:rPr>
                <w:rFonts w:eastAsia="標楷體"/>
              </w:rPr>
              <w:t>探討</w:t>
            </w:r>
            <w:proofErr w:type="gramStart"/>
            <w:r w:rsidR="00462F28" w:rsidRPr="001C7E94">
              <w:rPr>
                <w:rFonts w:eastAsia="標楷體"/>
              </w:rPr>
              <w:t>臺</w:t>
            </w:r>
            <w:proofErr w:type="gramEnd"/>
            <w:r w:rsidR="00462F28" w:rsidRPr="001C7E94">
              <w:rPr>
                <w:rFonts w:eastAsia="標楷體"/>
              </w:rPr>
              <w:t>股期貨、</w:t>
            </w:r>
            <w:proofErr w:type="gramStart"/>
            <w:r w:rsidR="00462F28" w:rsidRPr="001C7E94">
              <w:rPr>
                <w:rFonts w:eastAsia="標楷體"/>
              </w:rPr>
              <w:t>臺</w:t>
            </w:r>
            <w:proofErr w:type="gramEnd"/>
            <w:r w:rsidR="00462F28" w:rsidRPr="001C7E94">
              <w:rPr>
                <w:rFonts w:eastAsia="標楷體"/>
              </w:rPr>
              <w:t>指選擇權上</w:t>
            </w:r>
            <w:r w:rsidR="006C4D8A">
              <w:rPr>
                <w:rFonts w:eastAsia="標楷體"/>
              </w:rPr>
              <w:t>市以來，是否具有優化市場結構、穩定或降低現貨市場波動性之效果，</w:t>
            </w:r>
            <w:r w:rsidR="00462F28" w:rsidRPr="001C7E94">
              <w:rPr>
                <w:rFonts w:eastAsia="標楷體"/>
              </w:rPr>
              <w:t>從兩方面進行</w:t>
            </w:r>
            <w:r w:rsidR="00462F28" w:rsidRPr="001C7E94">
              <w:rPr>
                <w:rFonts w:eastAsia="標楷體"/>
              </w:rPr>
              <w:t xml:space="preserve">: </w:t>
            </w:r>
            <w:r w:rsidR="00462F28" w:rsidRPr="001C7E94">
              <w:rPr>
                <w:rFonts w:eastAsia="標楷體"/>
              </w:rPr>
              <w:t>一為探討</w:t>
            </w:r>
            <w:proofErr w:type="gramStart"/>
            <w:r w:rsidR="00462F28" w:rsidRPr="001C7E94">
              <w:rPr>
                <w:rFonts w:eastAsia="標楷體"/>
              </w:rPr>
              <w:t>臺</w:t>
            </w:r>
            <w:proofErr w:type="gramEnd"/>
            <w:r w:rsidR="00462F28" w:rsidRPr="001C7E94">
              <w:rPr>
                <w:rFonts w:eastAsia="標楷體"/>
              </w:rPr>
              <w:t>股期貨、</w:t>
            </w:r>
            <w:proofErr w:type="gramStart"/>
            <w:r w:rsidR="00462F28" w:rsidRPr="001C7E94">
              <w:rPr>
                <w:rFonts w:eastAsia="標楷體"/>
              </w:rPr>
              <w:t>臺</w:t>
            </w:r>
            <w:proofErr w:type="gramEnd"/>
            <w:r w:rsidR="00462F28" w:rsidRPr="001C7E94">
              <w:rPr>
                <w:rFonts w:eastAsia="標楷體"/>
              </w:rPr>
              <w:t>指選擇權、與</w:t>
            </w:r>
            <w:proofErr w:type="gramStart"/>
            <w:r w:rsidR="00462F28" w:rsidRPr="001C7E94">
              <w:rPr>
                <w:rFonts w:eastAsia="標楷體"/>
              </w:rPr>
              <w:t>臺</w:t>
            </w:r>
            <w:proofErr w:type="gramEnd"/>
            <w:r w:rsidR="00462F28" w:rsidRPr="001C7E94">
              <w:rPr>
                <w:rFonts w:eastAsia="標楷體"/>
              </w:rPr>
              <w:t>股指數現貨三個</w:t>
            </w:r>
            <w:proofErr w:type="gramStart"/>
            <w:r w:rsidR="00462F28" w:rsidRPr="001C7E94">
              <w:rPr>
                <w:rFonts w:eastAsia="標楷體"/>
              </w:rPr>
              <w:t>市場間的價格</w:t>
            </w:r>
            <w:proofErr w:type="gramEnd"/>
            <w:r w:rsidR="00462F28" w:rsidRPr="001C7E94">
              <w:rPr>
                <w:rFonts w:eastAsia="標楷體"/>
              </w:rPr>
              <w:t>發現功能。價格發現為期貨、選擇權等衍生性金融商品交易的主要經濟功能之</w:t>
            </w:r>
            <w:proofErr w:type="gramStart"/>
            <w:r w:rsidR="00462F28" w:rsidRPr="001C7E94">
              <w:rPr>
                <w:rFonts w:eastAsia="標楷體"/>
              </w:rPr>
              <w:t>一</w:t>
            </w:r>
            <w:proofErr w:type="gramEnd"/>
            <w:r w:rsidR="00462F28" w:rsidRPr="001C7E94">
              <w:rPr>
                <w:rFonts w:eastAsia="標楷體"/>
              </w:rPr>
              <w:t>。透過衍生性商品交易之價格發現，能使大眾獲得各種商品未來之現貨價格</w:t>
            </w:r>
            <w:r w:rsidR="000357A9" w:rsidRPr="001C7E94">
              <w:rPr>
                <w:rFonts w:eastAsia="標楷體" w:hint="eastAsia"/>
              </w:rPr>
              <w:t>趨勢</w:t>
            </w:r>
            <w:r w:rsidR="00462F28" w:rsidRPr="001C7E94">
              <w:rPr>
                <w:rFonts w:eastAsia="標楷體"/>
              </w:rPr>
              <w:t>，促使整體市場更有效率。二為探討不同事件對臺股期貨、臺指選擇權及現貨市場波動性之影響，是否臺股期貨市場相較於現貨及臺指選擇權，受到不同事件影響時，具有較穩定之波動性變化，因</w:t>
            </w:r>
            <w:r w:rsidR="001C7E94">
              <w:rPr>
                <w:rFonts w:eastAsia="標楷體" w:hint="eastAsia"/>
              </w:rPr>
              <w:t>而</w:t>
            </w:r>
            <w:r w:rsidR="00462F28" w:rsidRPr="001C7E94">
              <w:rPr>
                <w:rFonts w:eastAsia="標楷體"/>
              </w:rPr>
              <w:t>降低投資風險。</w:t>
            </w:r>
          </w:p>
          <w:p w:rsidR="00AF4AB0" w:rsidRPr="00AF4AB0" w:rsidRDefault="00AF4AB0" w:rsidP="009B0189">
            <w:pPr>
              <w:widowControl/>
              <w:spacing w:line="360" w:lineRule="auto"/>
              <w:ind w:firstLineChars="100" w:firstLine="240"/>
              <w:jc w:val="both"/>
              <w:rPr>
                <w:rFonts w:eastAsia="標楷體"/>
              </w:rPr>
            </w:pPr>
            <w:r w:rsidRPr="00AF4AB0">
              <w:rPr>
                <w:rFonts w:eastAsia="標楷體" w:hint="eastAsia"/>
              </w:rPr>
              <w:t>二、</w:t>
            </w:r>
            <w:r w:rsidRPr="00AF4AB0">
              <w:rPr>
                <w:rFonts w:eastAsia="標楷體"/>
                <w:bCs/>
              </w:rPr>
              <w:t>臺股期貨及</w:t>
            </w:r>
            <w:r w:rsidRPr="00AF4AB0">
              <w:rPr>
                <w:rFonts w:eastAsia="標楷體" w:hint="eastAsia"/>
                <w:bCs/>
              </w:rPr>
              <w:t>臺指選擇權</w:t>
            </w:r>
            <w:r w:rsidRPr="00AF4AB0">
              <w:rPr>
                <w:rFonts w:eastAsia="標楷體"/>
                <w:bCs/>
              </w:rPr>
              <w:t>對共同基金績效影響</w:t>
            </w:r>
          </w:p>
          <w:p w:rsidR="00696ED0" w:rsidRDefault="00462F28" w:rsidP="00DF23CD">
            <w:pPr>
              <w:widowControl/>
              <w:adjustRightInd w:val="0"/>
              <w:snapToGrid w:val="0"/>
              <w:spacing w:line="360" w:lineRule="auto"/>
              <w:ind w:leftChars="242" w:left="581" w:firstLineChars="204" w:firstLine="49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另為檢視期貨市場的避險增益功能，</w:t>
            </w:r>
            <w:r w:rsidR="00696ED0">
              <w:rPr>
                <w:rFonts w:eastAsia="標楷體" w:hint="eastAsia"/>
              </w:rPr>
              <w:t>本研究</w:t>
            </w:r>
            <w:r w:rsidR="00480653">
              <w:rPr>
                <w:rFonts w:eastAsia="標楷體"/>
              </w:rPr>
              <w:t>探討共同基金使用臺股期貨及選擇權之情形，</w:t>
            </w:r>
            <w:r w:rsidRPr="00462F28">
              <w:rPr>
                <w:rFonts w:eastAsia="標楷體"/>
              </w:rPr>
              <w:t>以</w:t>
            </w:r>
            <w:r w:rsidRPr="00462F28">
              <w:rPr>
                <w:rFonts w:eastAsia="標楷體"/>
              </w:rPr>
              <w:t xml:space="preserve">(1) </w:t>
            </w:r>
            <w:r w:rsidRPr="00462F28">
              <w:rPr>
                <w:rFonts w:eastAsia="標楷體"/>
              </w:rPr>
              <w:t>國內期貨型基金，</w:t>
            </w:r>
            <w:r w:rsidRPr="00462F28">
              <w:rPr>
                <w:rFonts w:eastAsia="標楷體"/>
              </w:rPr>
              <w:t>(2)</w:t>
            </w:r>
            <w:r w:rsidRPr="00462F28">
              <w:rPr>
                <w:rFonts w:eastAsia="標楷體"/>
              </w:rPr>
              <w:t>國外不同基金家族在台灣所發行之基金，以及</w:t>
            </w:r>
            <w:r w:rsidRPr="00462F28">
              <w:rPr>
                <w:rFonts w:eastAsia="標楷體"/>
              </w:rPr>
              <w:t>(3)</w:t>
            </w:r>
            <w:r w:rsidRPr="00462F28">
              <w:rPr>
                <w:rFonts w:eastAsia="標楷體"/>
              </w:rPr>
              <w:t>其它國內共同基金為研究對象，分析共同基金透過期貨市場進行投資增益或避險操作下，對其績效、獲利穩定性之影響。</w:t>
            </w:r>
          </w:p>
          <w:p w:rsidR="005B7484" w:rsidRDefault="00462F28" w:rsidP="00DF23CD">
            <w:pPr>
              <w:widowControl/>
              <w:adjustRightInd w:val="0"/>
              <w:snapToGrid w:val="0"/>
              <w:spacing w:line="360" w:lineRule="auto"/>
              <w:ind w:leftChars="242" w:left="581" w:firstLineChars="204" w:firstLine="490"/>
              <w:jc w:val="both"/>
              <w:rPr>
                <w:rFonts w:eastAsia="標楷體"/>
              </w:rPr>
            </w:pPr>
            <w:r w:rsidRPr="00462F28">
              <w:rPr>
                <w:rFonts w:eastAsia="標楷體"/>
              </w:rPr>
              <w:lastRenderedPageBreak/>
              <w:t>更進一步而言，基金投資組合可能包</w:t>
            </w:r>
            <w:r w:rsidR="00480653">
              <w:rPr>
                <w:rFonts w:eastAsia="標楷體"/>
              </w:rPr>
              <w:t>含衍生性金融商品或使用相關策略，但卻未明確公開持股內容，本研究</w:t>
            </w:r>
            <w:r w:rsidRPr="00462F28">
              <w:rPr>
                <w:rFonts w:eastAsia="標楷體"/>
              </w:rPr>
              <w:t>以</w:t>
            </w:r>
            <w:r w:rsidRPr="00462F28">
              <w:rPr>
                <w:rFonts w:eastAsia="標楷體"/>
              </w:rPr>
              <w:t xml:space="preserve">Agarwal and </w:t>
            </w:r>
            <w:proofErr w:type="spellStart"/>
            <w:r w:rsidRPr="00462F28">
              <w:rPr>
                <w:rFonts w:eastAsia="標楷體"/>
              </w:rPr>
              <w:t>Naik</w:t>
            </w:r>
            <w:proofErr w:type="spellEnd"/>
            <w:r w:rsidRPr="00462F28">
              <w:rPr>
                <w:rFonts w:eastAsia="標楷體"/>
              </w:rPr>
              <w:t xml:space="preserve"> (2004)</w:t>
            </w:r>
            <w:r w:rsidR="006C4D8A">
              <w:rPr>
                <w:rFonts w:eastAsia="標楷體" w:hint="eastAsia"/>
              </w:rPr>
              <w:t>所</w:t>
            </w:r>
            <w:r w:rsidR="006C4D8A">
              <w:rPr>
                <w:rFonts w:eastAsia="標楷體"/>
              </w:rPr>
              <w:t>提</w:t>
            </w:r>
            <w:r w:rsidR="006C4D8A">
              <w:rPr>
                <w:rFonts w:eastAsia="標楷體" w:hint="eastAsia"/>
              </w:rPr>
              <w:t>，</w:t>
            </w:r>
            <w:r w:rsidRPr="00462F28">
              <w:rPr>
                <w:rFonts w:eastAsia="標楷體"/>
              </w:rPr>
              <w:t>以市場上交易之選擇權形成風險因子之方式，</w:t>
            </w:r>
            <w:r w:rsidR="006C4D8A">
              <w:rPr>
                <w:rFonts w:eastAsia="標楷體" w:hint="eastAsia"/>
              </w:rPr>
              <w:t>即</w:t>
            </w:r>
            <w:r w:rsidR="006C4D8A">
              <w:rPr>
                <w:rFonts w:eastAsia="標楷體"/>
              </w:rPr>
              <w:t>以臺指選擇權</w:t>
            </w:r>
            <w:r w:rsidRPr="00462F28">
              <w:rPr>
                <w:rFonts w:eastAsia="標楷體"/>
              </w:rPr>
              <w:t>形成風險因子，分析各基金報酬對選擇權風險因子之因素負荷量</w:t>
            </w:r>
            <w:r w:rsidRPr="00462F28">
              <w:rPr>
                <w:rFonts w:eastAsia="標楷體"/>
              </w:rPr>
              <w:t>(factor loading)</w:t>
            </w:r>
            <w:r w:rsidRPr="00462F28">
              <w:rPr>
                <w:rFonts w:eastAsia="標楷體"/>
              </w:rPr>
              <w:t>，尤其當市場重大事件發生時</w:t>
            </w:r>
            <w:r w:rsidRPr="00462F28">
              <w:rPr>
                <w:rFonts w:eastAsia="標楷體"/>
              </w:rPr>
              <w:t>(</w:t>
            </w:r>
            <w:r w:rsidRPr="00462F28">
              <w:rPr>
                <w:rFonts w:eastAsia="標楷體"/>
              </w:rPr>
              <w:t>以市場報酬率來衡量</w:t>
            </w:r>
            <w:r w:rsidRPr="00462F28">
              <w:rPr>
                <w:rFonts w:eastAsia="標楷體"/>
              </w:rPr>
              <w:t>)</w:t>
            </w:r>
            <w:r w:rsidR="006C4D8A">
              <w:rPr>
                <w:rFonts w:eastAsia="標楷體"/>
              </w:rPr>
              <w:t>，各基金對選擇權風險因子之曝險程度變化情況，</w:t>
            </w:r>
            <w:r w:rsidRPr="00462F28">
              <w:rPr>
                <w:rFonts w:eastAsia="標楷體"/>
              </w:rPr>
              <w:t>以了解共同基金透過期貨市場進行避險操作之</w:t>
            </w:r>
            <w:r w:rsidR="00696ED0">
              <w:rPr>
                <w:rFonts w:eastAsia="標楷體" w:hint="eastAsia"/>
              </w:rPr>
              <w:t>策略</w:t>
            </w:r>
            <w:r w:rsidRPr="00462F28">
              <w:rPr>
                <w:rFonts w:eastAsia="標楷體"/>
              </w:rPr>
              <w:t>。</w:t>
            </w:r>
          </w:p>
          <w:p w:rsidR="00AF4AB0" w:rsidRPr="00AF4AB0" w:rsidRDefault="00AF4AB0" w:rsidP="00DF23CD">
            <w:pPr>
              <w:widowControl/>
              <w:adjustRightInd w:val="0"/>
              <w:snapToGrid w:val="0"/>
              <w:spacing w:line="360" w:lineRule="auto"/>
              <w:ind w:firstLineChars="204" w:firstLine="490"/>
              <w:jc w:val="both"/>
              <w:rPr>
                <w:rFonts w:eastAsia="標楷體"/>
              </w:rPr>
            </w:pPr>
          </w:p>
          <w:p w:rsidR="005B7484" w:rsidRDefault="00AF4AB0" w:rsidP="00DF23CD">
            <w:pPr>
              <w:adjustRightInd w:val="0"/>
              <w:snapToGrid w:val="0"/>
              <w:spacing w:line="360" w:lineRule="auto"/>
              <w:ind w:firstLineChars="17" w:firstLine="48"/>
              <w:jc w:val="both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貳、研究成果</w:t>
            </w:r>
            <w:r w:rsidR="005B7484" w:rsidRPr="00D67D90">
              <w:rPr>
                <w:rFonts w:eastAsia="標楷體" w:hAnsi="標楷體" w:hint="eastAsia"/>
                <w:sz w:val="28"/>
              </w:rPr>
              <w:t>：</w:t>
            </w:r>
          </w:p>
          <w:p w:rsidR="00AF4AB0" w:rsidRPr="00AF4AB0" w:rsidRDefault="005B7484" w:rsidP="009B018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eastAsia="標楷體" w:hAnsi="標楷體"/>
              </w:rPr>
            </w:pPr>
            <w:r w:rsidRPr="00B3745F">
              <w:rPr>
                <w:rFonts w:eastAsia="標楷體" w:hAnsi="標楷體" w:hint="eastAsia"/>
              </w:rPr>
              <w:t>一、</w:t>
            </w:r>
            <w:r w:rsidR="00AF4AB0" w:rsidRPr="00AF4AB0">
              <w:rPr>
                <w:rFonts w:eastAsia="標楷體"/>
                <w:bCs/>
              </w:rPr>
              <w:t>臺股期貨及</w:t>
            </w:r>
            <w:r w:rsidR="00AF4AB0" w:rsidRPr="00AF4AB0">
              <w:rPr>
                <w:rFonts w:eastAsia="標楷體" w:hint="eastAsia"/>
                <w:bCs/>
              </w:rPr>
              <w:t>臺指選擇權</w:t>
            </w:r>
            <w:r w:rsidR="00AF4AB0" w:rsidRPr="00AF4AB0">
              <w:rPr>
                <w:rFonts w:eastAsia="標楷體"/>
                <w:bCs/>
              </w:rPr>
              <w:t>之價格發現、對臺股指數波動度影響</w:t>
            </w:r>
          </w:p>
          <w:p w:rsidR="001C7E94" w:rsidRPr="00410C46" w:rsidRDefault="000F2CAC" w:rsidP="00DF23CD">
            <w:pPr>
              <w:widowControl/>
              <w:adjustRightInd w:val="0"/>
              <w:snapToGrid w:val="0"/>
              <w:spacing w:line="360" w:lineRule="auto"/>
              <w:ind w:leftChars="300" w:left="720" w:firstLineChars="204" w:firstLine="490"/>
              <w:rPr>
                <w:rFonts w:eastAsia="標楷體"/>
                <w:bCs/>
              </w:rPr>
            </w:pPr>
            <w:r w:rsidRPr="00410C46">
              <w:rPr>
                <w:rFonts w:eastAsia="標楷體"/>
                <w:bCs/>
              </w:rPr>
              <w:t>以日內一分鐘</w:t>
            </w:r>
            <w:r w:rsidR="00045B58" w:rsidRPr="00410C46">
              <w:rPr>
                <w:rFonts w:eastAsia="標楷體"/>
                <w:bCs/>
              </w:rPr>
              <w:t>資料探討臺股期貨</w:t>
            </w:r>
            <w:r w:rsidRPr="00410C46">
              <w:rPr>
                <w:rFonts w:eastAsia="標楷體"/>
              </w:rPr>
              <w:t>，</w:t>
            </w:r>
            <w:r w:rsidR="007F12EF" w:rsidRPr="00410C46">
              <w:rPr>
                <w:rFonts w:eastAsia="標楷體"/>
                <w:kern w:val="0"/>
              </w:rPr>
              <w:t>臺指</w:t>
            </w:r>
            <w:r w:rsidR="00045B58" w:rsidRPr="00410C46">
              <w:rPr>
                <w:rFonts w:eastAsia="標楷體"/>
                <w:bCs/>
              </w:rPr>
              <w:t>選擇權與現貨間之價格發現關係，實證結果顯示期貨、選擇權以及現貨間長期具共整合關係，顯示現貨與衍生性商品市場間之高連動性。</w:t>
            </w:r>
            <w:r w:rsidR="003532FC" w:rsidRPr="00410C46">
              <w:rPr>
                <w:rFonts w:eastAsia="標楷體"/>
                <w:bCs/>
              </w:rPr>
              <w:t>實證</w:t>
            </w:r>
            <w:r w:rsidR="00045B58" w:rsidRPr="00410C46">
              <w:rPr>
                <w:rFonts w:eastAsia="標楷體"/>
                <w:bCs/>
              </w:rPr>
              <w:t>結果</w:t>
            </w:r>
            <w:r w:rsidR="003532FC" w:rsidRPr="00410C46">
              <w:rPr>
                <w:rFonts w:eastAsia="標楷體"/>
                <w:bCs/>
              </w:rPr>
              <w:t>也</w:t>
            </w:r>
            <w:r w:rsidR="006C4D8A">
              <w:rPr>
                <w:rFonts w:eastAsia="標楷體"/>
                <w:bCs/>
              </w:rPr>
              <w:t>顯示，</w:t>
            </w:r>
            <w:r w:rsidR="006C4D8A">
              <w:rPr>
                <w:rFonts w:eastAsia="標楷體" w:hint="eastAsia"/>
                <w:bCs/>
              </w:rPr>
              <w:t>在</w:t>
            </w:r>
            <w:r w:rsidR="006C4D8A">
              <w:rPr>
                <w:rFonts w:eastAsia="標楷體"/>
                <w:bCs/>
              </w:rPr>
              <w:t>連續轉倉效果後，</w:t>
            </w:r>
            <w:r w:rsidR="00045B58" w:rsidRPr="00410C46">
              <w:rPr>
                <w:rFonts w:eastAsia="標楷體"/>
                <w:bCs/>
              </w:rPr>
              <w:t>十三個樣本期間中，大多數樣本</w:t>
            </w:r>
            <w:r w:rsidR="007F12EF" w:rsidRPr="00410C46">
              <w:rPr>
                <w:rFonts w:eastAsia="標楷體"/>
                <w:bCs/>
              </w:rPr>
              <w:t>均顯示</w:t>
            </w:r>
            <w:r w:rsidR="00045B58" w:rsidRPr="00410C46">
              <w:rPr>
                <w:rFonts w:eastAsia="標楷體"/>
                <w:bCs/>
              </w:rPr>
              <w:t>期貨</w:t>
            </w:r>
            <w:r w:rsidR="007F12EF" w:rsidRPr="00410C46">
              <w:rPr>
                <w:rFonts w:eastAsia="標楷體"/>
                <w:bCs/>
              </w:rPr>
              <w:t>價格引導</w:t>
            </w:r>
            <w:r w:rsidR="007F12EF" w:rsidRPr="00410C46">
              <w:rPr>
                <w:rFonts w:eastAsia="標楷體"/>
                <w:bCs/>
              </w:rPr>
              <w:t>(</w:t>
            </w:r>
            <w:r w:rsidR="00045B58" w:rsidRPr="00410C46">
              <w:rPr>
                <w:rFonts w:eastAsia="標楷體"/>
                <w:bCs/>
              </w:rPr>
              <w:t>Granger Cause</w:t>
            </w:r>
            <w:r w:rsidR="007F12EF" w:rsidRPr="00410C46">
              <w:rPr>
                <w:rFonts w:eastAsia="標楷體"/>
                <w:bCs/>
              </w:rPr>
              <w:t>)</w:t>
            </w:r>
            <w:r w:rsidR="00045B58" w:rsidRPr="00410C46">
              <w:rPr>
                <w:rFonts w:eastAsia="標楷體"/>
                <w:bCs/>
              </w:rPr>
              <w:t>選擇權，但是選擇權</w:t>
            </w:r>
            <w:r w:rsidR="007F12EF" w:rsidRPr="00410C46">
              <w:rPr>
                <w:rFonts w:eastAsia="標楷體"/>
                <w:bCs/>
              </w:rPr>
              <w:t>並</w:t>
            </w:r>
            <w:r w:rsidR="00045B58" w:rsidRPr="00410C46">
              <w:rPr>
                <w:rFonts w:eastAsia="標楷體"/>
                <w:bCs/>
              </w:rPr>
              <w:t>不顯著</w:t>
            </w:r>
            <w:r w:rsidR="007F12EF" w:rsidRPr="00410C46">
              <w:rPr>
                <w:rFonts w:eastAsia="標楷體"/>
                <w:bCs/>
              </w:rPr>
              <w:t>引導</w:t>
            </w:r>
            <w:r w:rsidR="007F12EF" w:rsidRPr="00410C46">
              <w:rPr>
                <w:rFonts w:eastAsia="標楷體"/>
                <w:bCs/>
              </w:rPr>
              <w:t>(</w:t>
            </w:r>
            <w:r w:rsidR="00045B58" w:rsidRPr="00410C46">
              <w:rPr>
                <w:rFonts w:eastAsia="標楷體"/>
                <w:bCs/>
              </w:rPr>
              <w:t>Granger Cause</w:t>
            </w:r>
            <w:r w:rsidR="007F12EF" w:rsidRPr="00410C46">
              <w:rPr>
                <w:rFonts w:eastAsia="標楷體"/>
                <w:bCs/>
              </w:rPr>
              <w:t>)</w:t>
            </w:r>
            <w:r w:rsidR="00045B58" w:rsidRPr="00410C46">
              <w:rPr>
                <w:rFonts w:eastAsia="標楷體"/>
                <w:bCs/>
              </w:rPr>
              <w:t>期貨</w:t>
            </w:r>
            <w:r w:rsidR="006C4D8A">
              <w:rPr>
                <w:rFonts w:eastAsia="標楷體" w:hint="eastAsia"/>
                <w:bCs/>
              </w:rPr>
              <w:t>價格</w:t>
            </w:r>
            <w:r w:rsidR="00045B58" w:rsidRPr="00410C46">
              <w:rPr>
                <w:rFonts w:eastAsia="標楷體"/>
                <w:bCs/>
              </w:rPr>
              <w:t>。而在每個樣本中，</w:t>
            </w:r>
            <w:r w:rsidR="001C7E94" w:rsidRPr="00410C46">
              <w:rPr>
                <w:rFonts w:eastAsia="標楷體"/>
              </w:rPr>
              <w:t>臺</w:t>
            </w:r>
            <w:r w:rsidR="00045B58" w:rsidRPr="00410C46">
              <w:rPr>
                <w:rFonts w:eastAsia="標楷體"/>
                <w:bCs/>
              </w:rPr>
              <w:t>灣加權股價指數與</w:t>
            </w:r>
            <w:r w:rsidR="007F12EF" w:rsidRPr="00410C46">
              <w:rPr>
                <w:rFonts w:eastAsia="標楷體"/>
                <w:bCs/>
              </w:rPr>
              <w:t>臺股</w:t>
            </w:r>
            <w:r w:rsidR="00045B58" w:rsidRPr="00410C46">
              <w:rPr>
                <w:rFonts w:eastAsia="標楷體"/>
                <w:bCs/>
              </w:rPr>
              <w:t>期貨兩者間、</w:t>
            </w:r>
            <w:r w:rsidR="001C7E94" w:rsidRPr="00410C46">
              <w:rPr>
                <w:rFonts w:eastAsia="標楷體"/>
              </w:rPr>
              <w:t>臺</w:t>
            </w:r>
            <w:r w:rsidR="00045B58" w:rsidRPr="00410C46">
              <w:rPr>
                <w:rFonts w:eastAsia="標楷體"/>
                <w:bCs/>
              </w:rPr>
              <w:t>灣加權股價指數與臺指選擇權反推的隱含現貨價格皆有顯著</w:t>
            </w:r>
            <w:r w:rsidR="007F12EF" w:rsidRPr="00410C46">
              <w:rPr>
                <w:rFonts w:eastAsia="標楷體"/>
                <w:bCs/>
              </w:rPr>
              <w:t>的相互引導</w:t>
            </w:r>
            <w:r w:rsidR="00045B58" w:rsidRPr="00410C46">
              <w:rPr>
                <w:rFonts w:eastAsia="標楷體"/>
                <w:bCs/>
              </w:rPr>
              <w:t>關係</w:t>
            </w:r>
            <w:r w:rsidR="007F12EF" w:rsidRPr="00410C46">
              <w:rPr>
                <w:rFonts w:eastAsia="標楷體"/>
                <w:bCs/>
              </w:rPr>
              <w:t>(Granger Causality)</w:t>
            </w:r>
            <w:r w:rsidR="00045B58" w:rsidRPr="00410C46">
              <w:rPr>
                <w:rFonts w:eastAsia="標楷體"/>
                <w:bCs/>
              </w:rPr>
              <w:t>，且</w:t>
            </w:r>
            <w:r w:rsidR="006A3F5B" w:rsidRPr="00410C46">
              <w:rPr>
                <w:rFonts w:eastAsia="標楷體"/>
              </w:rPr>
              <w:t>向量誤差修正模型</w:t>
            </w:r>
            <w:r w:rsidR="006A3F5B" w:rsidRPr="00410C46">
              <w:rPr>
                <w:rFonts w:eastAsia="標楷體"/>
              </w:rPr>
              <w:t>(</w:t>
            </w:r>
            <w:r w:rsidR="00045B58" w:rsidRPr="00410C46">
              <w:rPr>
                <w:rFonts w:eastAsia="標楷體"/>
                <w:bCs/>
              </w:rPr>
              <w:t>VECM</w:t>
            </w:r>
            <w:r w:rsidR="006A3F5B" w:rsidRPr="00410C46">
              <w:rPr>
                <w:rFonts w:eastAsia="標楷體"/>
                <w:bCs/>
              </w:rPr>
              <w:t>)</w:t>
            </w:r>
            <w:r w:rsidR="00045B58" w:rsidRPr="00410C46">
              <w:rPr>
                <w:rFonts w:eastAsia="標楷體"/>
                <w:bCs/>
              </w:rPr>
              <w:t>的結果也顯示期貨價格皆顯著領先選擇權。實證結果也顯示期貨價格領先</w:t>
            </w:r>
            <w:r w:rsidR="001C7E94" w:rsidRPr="00410C46">
              <w:rPr>
                <w:rFonts w:eastAsia="標楷體"/>
              </w:rPr>
              <w:t>臺</w:t>
            </w:r>
            <w:r w:rsidR="00045B58" w:rsidRPr="00410C46">
              <w:rPr>
                <w:rFonts w:eastAsia="標楷體"/>
                <w:bCs/>
              </w:rPr>
              <w:t>灣加權股價指數，而</w:t>
            </w:r>
            <w:r w:rsidR="001C7E94" w:rsidRPr="00410C46">
              <w:rPr>
                <w:rFonts w:eastAsia="標楷體"/>
              </w:rPr>
              <w:t>臺</w:t>
            </w:r>
            <w:r w:rsidR="00045B58" w:rsidRPr="00410C46">
              <w:rPr>
                <w:rFonts w:eastAsia="標楷體"/>
                <w:bCs/>
              </w:rPr>
              <w:t>灣加權股價指數與</w:t>
            </w:r>
            <w:r w:rsidR="006A3F5B" w:rsidRPr="00410C46">
              <w:rPr>
                <w:rFonts w:eastAsia="標楷體"/>
                <w:bCs/>
              </w:rPr>
              <w:t>臺指</w:t>
            </w:r>
            <w:r w:rsidR="00045B58" w:rsidRPr="00410C46">
              <w:rPr>
                <w:rFonts w:eastAsia="標楷體"/>
                <w:bCs/>
              </w:rPr>
              <w:t>選擇權間互有領先。</w:t>
            </w:r>
          </w:p>
          <w:p w:rsidR="00696ED0" w:rsidRPr="00410C46" w:rsidRDefault="006A3F5B" w:rsidP="00DF23CD">
            <w:pPr>
              <w:widowControl/>
              <w:adjustRightInd w:val="0"/>
              <w:snapToGrid w:val="0"/>
              <w:spacing w:line="360" w:lineRule="auto"/>
              <w:ind w:leftChars="300" w:left="720" w:firstLineChars="204" w:firstLine="490"/>
              <w:rPr>
                <w:rFonts w:eastAsia="標楷體"/>
                <w:bCs/>
              </w:rPr>
            </w:pPr>
            <w:r w:rsidRPr="00410C46">
              <w:rPr>
                <w:rFonts w:eastAsia="標楷體"/>
                <w:bCs/>
              </w:rPr>
              <w:t>至於波動性的影響，</w:t>
            </w:r>
            <w:r w:rsidR="00824C41" w:rsidRPr="00410C46">
              <w:rPr>
                <w:rFonts w:eastAsia="標楷體"/>
                <w:bCs/>
              </w:rPr>
              <w:t>本研究探討正常時期、</w:t>
            </w:r>
            <w:r w:rsidRPr="00410C46">
              <w:rPr>
                <w:rFonts w:eastAsia="標楷體"/>
                <w:bCs/>
              </w:rPr>
              <w:t>美國次貸風暴</w:t>
            </w:r>
            <w:r w:rsidR="00824C41" w:rsidRPr="00410C46">
              <w:rPr>
                <w:rFonts w:eastAsia="標楷體"/>
                <w:bCs/>
              </w:rPr>
              <w:t>、</w:t>
            </w:r>
            <w:r w:rsidRPr="00410C46">
              <w:rPr>
                <w:rFonts w:eastAsia="標楷體"/>
                <w:bCs/>
              </w:rPr>
              <w:t>日本</w:t>
            </w:r>
            <w:r w:rsidRPr="00410C46">
              <w:rPr>
                <w:rFonts w:eastAsia="標楷體"/>
                <w:bCs/>
              </w:rPr>
              <w:t>311</w:t>
            </w:r>
            <w:r w:rsidRPr="00410C46">
              <w:rPr>
                <w:rFonts w:eastAsia="標楷體"/>
                <w:bCs/>
              </w:rPr>
              <w:t>事件</w:t>
            </w:r>
            <w:r w:rsidR="00824C41" w:rsidRPr="00410C46">
              <w:rPr>
                <w:rFonts w:eastAsia="標楷體"/>
                <w:bCs/>
              </w:rPr>
              <w:t>、</w:t>
            </w:r>
            <w:r w:rsidRPr="00410C46">
              <w:rPr>
                <w:rFonts w:eastAsia="標楷體"/>
                <w:bCs/>
              </w:rPr>
              <w:t>美債降評</w:t>
            </w:r>
            <w:r w:rsidR="00824C41" w:rsidRPr="00410C46">
              <w:rPr>
                <w:rFonts w:eastAsia="標楷體"/>
                <w:bCs/>
              </w:rPr>
              <w:t>、</w:t>
            </w:r>
            <w:r w:rsidRPr="00410C46">
              <w:rPr>
                <w:rFonts w:eastAsia="標楷體"/>
                <w:bCs/>
              </w:rPr>
              <w:t>中國股災</w:t>
            </w:r>
            <w:r w:rsidR="00824C41" w:rsidRPr="00410C46">
              <w:rPr>
                <w:rFonts w:eastAsia="標楷體"/>
                <w:bCs/>
              </w:rPr>
              <w:t>等</w:t>
            </w:r>
            <w:r w:rsidRPr="00410C46">
              <w:rPr>
                <w:rFonts w:eastAsia="標楷體"/>
                <w:bCs/>
              </w:rPr>
              <w:t>事件</w:t>
            </w:r>
            <w:r w:rsidR="00824C41" w:rsidRPr="00410C46">
              <w:rPr>
                <w:rFonts w:eastAsia="標楷體"/>
                <w:bCs/>
              </w:rPr>
              <w:t>，</w:t>
            </w:r>
            <w:r w:rsidR="006C4D8A">
              <w:rPr>
                <w:rFonts w:eastAsia="標楷體"/>
                <w:bCs/>
              </w:rPr>
              <w:t>各事件前後波動性</w:t>
            </w:r>
            <w:r w:rsidR="00E4529C">
              <w:rPr>
                <w:rFonts w:eastAsia="標楷體" w:hint="eastAsia"/>
                <w:bCs/>
              </w:rPr>
              <w:t>變化</w:t>
            </w:r>
            <w:bookmarkStart w:id="0" w:name="_GoBack"/>
            <w:bookmarkEnd w:id="0"/>
            <w:r w:rsidR="00824C41" w:rsidRPr="00410C46">
              <w:rPr>
                <w:rFonts w:eastAsia="標楷體"/>
                <w:bCs/>
              </w:rPr>
              <w:t>之情形。實證結果涵蓋事件前後</w:t>
            </w:r>
            <w:proofErr w:type="gramStart"/>
            <w:r w:rsidR="00824C41" w:rsidRPr="00410C46">
              <w:rPr>
                <w:rFonts w:eastAsia="標楷體"/>
                <w:bCs/>
              </w:rPr>
              <w:t>期間，</w:t>
            </w:r>
            <w:proofErr w:type="gramEnd"/>
            <w:r w:rsidR="00824C41" w:rsidRPr="00410C46">
              <w:rPr>
                <w:rFonts w:eastAsia="標楷體"/>
                <w:bCs/>
              </w:rPr>
              <w:t>並</w:t>
            </w:r>
            <w:r w:rsidR="00045B58" w:rsidRPr="00410C46">
              <w:rPr>
                <w:rFonts w:eastAsia="標楷體"/>
                <w:bCs/>
              </w:rPr>
              <w:t>發現三種商品的波動性在</w:t>
            </w:r>
            <w:r w:rsidR="00696ED0" w:rsidRPr="00410C46">
              <w:rPr>
                <w:rFonts w:eastAsia="標楷體"/>
                <w:bCs/>
              </w:rPr>
              <w:t>特殊</w:t>
            </w:r>
            <w:r w:rsidR="00045B58" w:rsidRPr="00410C46">
              <w:rPr>
                <w:rFonts w:eastAsia="標楷體"/>
                <w:bCs/>
              </w:rPr>
              <w:t>事件</w:t>
            </w:r>
            <w:r w:rsidR="00E4529C">
              <w:rPr>
                <w:rFonts w:eastAsia="標楷體" w:hint="eastAsia"/>
                <w:bCs/>
              </w:rPr>
              <w:t>發生</w:t>
            </w:r>
            <w:r w:rsidR="00045B58" w:rsidRPr="00410C46">
              <w:rPr>
                <w:rFonts w:eastAsia="標楷體"/>
                <w:bCs/>
              </w:rPr>
              <w:t>後皆提升。</w:t>
            </w:r>
            <w:r w:rsidR="00824C41" w:rsidRPr="00410C46">
              <w:rPr>
                <w:rFonts w:eastAsia="標楷體"/>
                <w:bCs/>
              </w:rPr>
              <w:t>而在</w:t>
            </w:r>
            <w:r w:rsidR="00045B58" w:rsidRPr="00410C46">
              <w:rPr>
                <w:rFonts w:eastAsia="標楷體"/>
                <w:bCs/>
              </w:rPr>
              <w:t>五個樣本期間中，三種商品的波動率受美國</w:t>
            </w:r>
            <w:proofErr w:type="gramStart"/>
            <w:r w:rsidR="00045B58" w:rsidRPr="00410C46">
              <w:rPr>
                <w:rFonts w:eastAsia="標楷體"/>
                <w:bCs/>
              </w:rPr>
              <w:t>次貸</w:t>
            </w:r>
            <w:proofErr w:type="gramEnd"/>
            <w:r w:rsidR="00045B58" w:rsidRPr="00410C46">
              <w:rPr>
                <w:rFonts w:eastAsia="標楷體"/>
                <w:bCs/>
              </w:rPr>
              <w:t>風暴影響最</w:t>
            </w:r>
            <w:proofErr w:type="gramStart"/>
            <w:r w:rsidR="00045B58" w:rsidRPr="00410C46">
              <w:rPr>
                <w:rFonts w:eastAsia="標楷體"/>
                <w:bCs/>
              </w:rPr>
              <w:t>鉅</w:t>
            </w:r>
            <w:proofErr w:type="gramEnd"/>
            <w:r w:rsidR="00045B58" w:rsidRPr="00410C46">
              <w:rPr>
                <w:rFonts w:eastAsia="標楷體"/>
                <w:bCs/>
              </w:rPr>
              <w:t>，美</w:t>
            </w:r>
            <w:proofErr w:type="gramStart"/>
            <w:r w:rsidR="00045B58" w:rsidRPr="00410C46">
              <w:rPr>
                <w:rFonts w:eastAsia="標楷體"/>
                <w:bCs/>
              </w:rPr>
              <w:t>債降評次</w:t>
            </w:r>
            <w:proofErr w:type="gramEnd"/>
            <w:r w:rsidR="00045B58" w:rsidRPr="00410C46">
              <w:rPr>
                <w:rFonts w:eastAsia="標楷體"/>
                <w:bCs/>
              </w:rPr>
              <w:t>之，正常期間波動率最小。</w:t>
            </w:r>
            <w:r w:rsidR="00824C41" w:rsidRPr="00410C46">
              <w:rPr>
                <w:rFonts w:eastAsia="標楷體"/>
                <w:bCs/>
              </w:rPr>
              <w:t>而</w:t>
            </w:r>
            <w:r w:rsidR="00045B58" w:rsidRPr="00410C46">
              <w:rPr>
                <w:rFonts w:eastAsia="標楷體"/>
                <w:bCs/>
              </w:rPr>
              <w:t>多數樣本期間</w:t>
            </w:r>
            <w:r w:rsidR="00824C41" w:rsidRPr="00410C46">
              <w:rPr>
                <w:rFonts w:eastAsia="標楷體"/>
                <w:bCs/>
              </w:rPr>
              <w:t>皆</w:t>
            </w:r>
            <w:r w:rsidR="006C4D8A">
              <w:rPr>
                <w:rFonts w:eastAsia="標楷體"/>
                <w:bCs/>
              </w:rPr>
              <w:t>顯示期貨市場在事前已率先反</w:t>
            </w:r>
            <w:r w:rsidR="006C4D8A">
              <w:rPr>
                <w:rFonts w:eastAsia="標楷體" w:hint="eastAsia"/>
                <w:bCs/>
              </w:rPr>
              <w:t>映</w:t>
            </w:r>
            <w:r w:rsidR="00045B58" w:rsidRPr="00410C46">
              <w:rPr>
                <w:rFonts w:eastAsia="標楷體"/>
                <w:bCs/>
              </w:rPr>
              <w:t>可能之波動性變化。</w:t>
            </w:r>
            <w:r w:rsidR="001C7E94" w:rsidRPr="00410C46">
              <w:rPr>
                <w:rFonts w:eastAsia="標楷體"/>
                <w:bCs/>
              </w:rPr>
              <w:t>而</w:t>
            </w:r>
            <w:proofErr w:type="gramStart"/>
            <w:r w:rsidR="00045B58" w:rsidRPr="00410C46">
              <w:rPr>
                <w:rFonts w:eastAsia="標楷體"/>
                <w:bCs/>
              </w:rPr>
              <w:t>臺</w:t>
            </w:r>
            <w:proofErr w:type="gramEnd"/>
            <w:r w:rsidR="00045B58" w:rsidRPr="00410C46">
              <w:rPr>
                <w:rFonts w:eastAsia="標楷體"/>
                <w:bCs/>
              </w:rPr>
              <w:t>指現貨與選擇權在事件後</w:t>
            </w:r>
            <w:r w:rsidR="001C7E94" w:rsidRPr="00410C46">
              <w:rPr>
                <w:rFonts w:eastAsia="標楷體"/>
                <w:bCs/>
              </w:rPr>
              <w:t>，</w:t>
            </w:r>
            <w:r w:rsidR="00045B58" w:rsidRPr="00410C46">
              <w:rPr>
                <w:rFonts w:eastAsia="標楷體"/>
                <w:bCs/>
              </w:rPr>
              <w:t>波動性受到未預期資訊衝擊影響較大</w:t>
            </w:r>
            <w:r w:rsidR="00045B58" w:rsidRPr="00410C46">
              <w:rPr>
                <w:rFonts w:eastAsia="標楷體"/>
                <w:bCs/>
              </w:rPr>
              <w:t>(</w:t>
            </w:r>
            <m:oMath>
              <m:sSub>
                <m:sSubPr>
                  <m:ctrlPr>
                    <w:rPr>
                      <w:rFonts w:ascii="Cambria Math" w:eastAsia="標楷體" w:hAnsi="Cambria Math"/>
                      <w:bCs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</m:oMath>
            <w:r w:rsidR="00045B58" w:rsidRPr="00410C46">
              <w:rPr>
                <w:rFonts w:eastAsia="標楷體"/>
                <w:bCs/>
              </w:rPr>
              <w:t>&gt;</w:t>
            </w:r>
            <m:oMath>
              <m:sSub>
                <m:sSubPr>
                  <m:ctrlPr>
                    <w:rPr>
                      <w:rFonts w:ascii="Cambria Math" w:eastAsia="標楷體" w:hAnsi="Cambria Math"/>
                      <w:bCs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</m:oMath>
            <w:r w:rsidR="00045B58" w:rsidRPr="00410C46">
              <w:rPr>
                <w:rFonts w:eastAsia="標楷體"/>
                <w:bCs/>
              </w:rPr>
              <w:t>)</w:t>
            </w:r>
            <w:r w:rsidR="006C4D8A">
              <w:rPr>
                <w:rFonts w:eastAsia="標楷體"/>
                <w:bCs/>
              </w:rPr>
              <w:t>，而</w:t>
            </w:r>
            <w:proofErr w:type="gramStart"/>
            <w:r w:rsidR="006C4D8A">
              <w:rPr>
                <w:rFonts w:eastAsia="標楷體" w:hint="eastAsia"/>
                <w:bCs/>
              </w:rPr>
              <w:t>臺</w:t>
            </w:r>
            <w:proofErr w:type="gramEnd"/>
            <w:r w:rsidR="006C4D8A">
              <w:rPr>
                <w:rFonts w:eastAsia="標楷體" w:hint="eastAsia"/>
                <w:bCs/>
              </w:rPr>
              <w:t>股期貨</w:t>
            </w:r>
            <w:r w:rsidR="00045B58" w:rsidRPr="00410C46">
              <w:rPr>
                <w:rFonts w:eastAsia="標楷體"/>
                <w:bCs/>
              </w:rPr>
              <w:t>則受到前期波動性</w:t>
            </w:r>
            <w:r w:rsidR="00045B58" w:rsidRPr="00410C46">
              <w:rPr>
                <w:rFonts w:eastAsia="標楷體"/>
                <w:bCs/>
              </w:rPr>
              <w:t>(</w:t>
            </w:r>
            <m:oMath>
              <m:sSubSup>
                <m:sSubSupPr>
                  <m:ctrlPr>
                    <w:rPr>
                      <w:rFonts w:ascii="Cambria Math" w:eastAsia="標楷體" w:hAnsi="Cambria Math"/>
                      <w:bCs/>
                    </w:rPr>
                  </m:ctrlPr>
                </m:sSubSupPr>
                <m:e>
                  <m:r>
                    <w:rPr>
                      <w:rFonts w:ascii="Cambria Math" w:eastAsia="標楷體" w:hAnsi="Cambria Math"/>
                    </w:rPr>
                    <m:t>σ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-1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2</m:t>
                  </m:r>
                </m:sup>
              </m:sSubSup>
            </m:oMath>
            <w:r w:rsidR="00045B58" w:rsidRPr="00410C46">
              <w:rPr>
                <w:rFonts w:eastAsia="標楷體"/>
                <w:bCs/>
              </w:rPr>
              <w:t>)</w:t>
            </w:r>
            <w:r w:rsidR="00045B58" w:rsidRPr="00410C46">
              <w:rPr>
                <w:rFonts w:eastAsia="標楷體"/>
                <w:bCs/>
              </w:rPr>
              <w:t>影響較大</w:t>
            </w:r>
            <w:r w:rsidR="00045B58" w:rsidRPr="00410C46">
              <w:rPr>
                <w:rFonts w:eastAsia="標楷體"/>
                <w:bCs/>
              </w:rPr>
              <w:t>(</w:t>
            </w:r>
            <m:oMath>
              <m:sSub>
                <m:sSubPr>
                  <m:ctrlPr>
                    <w:rPr>
                      <w:rFonts w:ascii="Cambria Math" w:eastAsia="標楷體" w:hAnsi="Cambria Math"/>
                      <w:bCs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</m:oMath>
            <w:r w:rsidR="00045B58" w:rsidRPr="00410C46">
              <w:rPr>
                <w:rFonts w:eastAsia="標楷體"/>
                <w:bCs/>
              </w:rPr>
              <w:t>&gt;</w:t>
            </w:r>
            <m:oMath>
              <m:sSub>
                <m:sSubPr>
                  <m:ctrlPr>
                    <w:rPr>
                      <w:rFonts w:ascii="Cambria Math" w:eastAsia="標楷體" w:hAnsi="Cambria Math"/>
                      <w:bCs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</m:oMath>
            <w:r w:rsidR="00045B58" w:rsidRPr="00410C46">
              <w:rPr>
                <w:rFonts w:eastAsia="標楷體"/>
                <w:bCs/>
              </w:rPr>
              <w:t>)</w:t>
            </w:r>
            <w:r w:rsidR="00045B58" w:rsidRPr="00410C46">
              <w:rPr>
                <w:rFonts w:eastAsia="標楷體"/>
                <w:bCs/>
              </w:rPr>
              <w:t>。</w:t>
            </w:r>
          </w:p>
          <w:p w:rsidR="00045B58" w:rsidRPr="00410C46" w:rsidRDefault="00696ED0" w:rsidP="00DF23CD">
            <w:pPr>
              <w:widowControl/>
              <w:adjustRightInd w:val="0"/>
              <w:snapToGrid w:val="0"/>
              <w:spacing w:line="360" w:lineRule="auto"/>
              <w:ind w:leftChars="300" w:left="720" w:firstLineChars="204" w:firstLine="490"/>
              <w:rPr>
                <w:rFonts w:eastAsia="標楷體"/>
                <w:bCs/>
              </w:rPr>
            </w:pPr>
            <w:r w:rsidRPr="00410C46">
              <w:rPr>
                <w:rFonts w:eastAsia="標楷體"/>
                <w:bCs/>
              </w:rPr>
              <w:t>就各事件而言，</w:t>
            </w:r>
            <w:r w:rsidR="00045B58" w:rsidRPr="00410C46">
              <w:rPr>
                <w:rFonts w:eastAsia="標楷體"/>
                <w:bCs/>
              </w:rPr>
              <w:t>美國</w:t>
            </w:r>
            <w:proofErr w:type="gramStart"/>
            <w:r w:rsidR="00045B58" w:rsidRPr="00410C46">
              <w:rPr>
                <w:rFonts w:eastAsia="標楷體"/>
                <w:bCs/>
              </w:rPr>
              <w:t>次貸</w:t>
            </w:r>
            <w:proofErr w:type="gramEnd"/>
            <w:r w:rsidR="00045B58" w:rsidRPr="00410C46">
              <w:rPr>
                <w:rFonts w:eastAsia="標楷體"/>
                <w:bCs/>
              </w:rPr>
              <w:t>風暴前後對</w:t>
            </w:r>
            <w:proofErr w:type="gramStart"/>
            <w:r w:rsidR="00045B58" w:rsidRPr="00410C46">
              <w:rPr>
                <w:rFonts w:eastAsia="標楷體"/>
                <w:bCs/>
              </w:rPr>
              <w:t>選擇權反推</w:t>
            </w:r>
            <w:proofErr w:type="gramEnd"/>
            <w:r w:rsidR="00045B58" w:rsidRPr="00410C46">
              <w:rPr>
                <w:rFonts w:eastAsia="標楷體"/>
                <w:bCs/>
              </w:rPr>
              <w:t>的隱含波動性價格之波動性影響最大，現貨次之，期貨最小。日本</w:t>
            </w:r>
            <w:r w:rsidR="00045B58" w:rsidRPr="00410C46">
              <w:rPr>
                <w:rFonts w:eastAsia="標楷體"/>
                <w:bCs/>
              </w:rPr>
              <w:t>311</w:t>
            </w:r>
            <w:r w:rsidR="00045B58" w:rsidRPr="00410C46">
              <w:rPr>
                <w:rFonts w:eastAsia="標楷體"/>
                <w:bCs/>
              </w:rPr>
              <w:t>事件前後對</w:t>
            </w:r>
            <w:proofErr w:type="gramStart"/>
            <w:r w:rsidR="00045B58" w:rsidRPr="00410C46">
              <w:rPr>
                <w:rFonts w:eastAsia="標楷體"/>
                <w:bCs/>
              </w:rPr>
              <w:t>選擇權反推</w:t>
            </w:r>
            <w:proofErr w:type="gramEnd"/>
            <w:r w:rsidR="00045B58" w:rsidRPr="00410C46">
              <w:rPr>
                <w:rFonts w:eastAsia="標楷體"/>
                <w:bCs/>
              </w:rPr>
              <w:t>的隱含波動性價格之波動性影響最大，現貨次之，期貨最小。</w:t>
            </w:r>
            <w:proofErr w:type="gramStart"/>
            <w:r w:rsidR="00045B58" w:rsidRPr="00410C46">
              <w:rPr>
                <w:rFonts w:eastAsia="標楷體"/>
                <w:bCs/>
              </w:rPr>
              <w:t>美債降評</w:t>
            </w:r>
            <w:proofErr w:type="gramEnd"/>
            <w:r w:rsidR="00045B58" w:rsidRPr="00410C46">
              <w:rPr>
                <w:rFonts w:eastAsia="標楷體"/>
                <w:bCs/>
              </w:rPr>
              <w:t>事件前後對</w:t>
            </w:r>
            <w:proofErr w:type="gramStart"/>
            <w:r w:rsidR="00045B58" w:rsidRPr="00410C46">
              <w:rPr>
                <w:rFonts w:eastAsia="標楷體"/>
                <w:bCs/>
              </w:rPr>
              <w:t>選擇權反推</w:t>
            </w:r>
            <w:proofErr w:type="gramEnd"/>
            <w:r w:rsidR="00045B58" w:rsidRPr="00410C46">
              <w:rPr>
                <w:rFonts w:eastAsia="標楷體"/>
                <w:bCs/>
              </w:rPr>
              <w:t>的隱含波動性價格之波動性影響最大，現貨次之，期貨最小。中國股災</w:t>
            </w:r>
            <w:r w:rsidR="00045B58" w:rsidRPr="00410C46">
              <w:rPr>
                <w:rFonts w:eastAsia="標楷體"/>
                <w:bCs/>
              </w:rPr>
              <w:lastRenderedPageBreak/>
              <w:t>事件前後對</w:t>
            </w:r>
            <w:proofErr w:type="gramStart"/>
            <w:r w:rsidR="00045B58" w:rsidRPr="00410C46">
              <w:rPr>
                <w:rFonts w:eastAsia="標楷體"/>
                <w:bCs/>
              </w:rPr>
              <w:t>選擇權反推</w:t>
            </w:r>
            <w:proofErr w:type="gramEnd"/>
            <w:r w:rsidR="00045B58" w:rsidRPr="00410C46">
              <w:rPr>
                <w:rFonts w:eastAsia="標楷體"/>
                <w:bCs/>
              </w:rPr>
              <w:t>的隱含波動性價格之波動性影響最大，期貨次之，現</w:t>
            </w:r>
            <w:r w:rsidR="00045B58" w:rsidRPr="00045B58">
              <w:rPr>
                <w:rFonts w:ascii="標楷體" w:eastAsia="標楷體" w:hAnsi="標楷體" w:hint="eastAsia"/>
                <w:bCs/>
              </w:rPr>
              <w:t>貨</w:t>
            </w:r>
            <w:r w:rsidR="00045B58" w:rsidRPr="00410C46">
              <w:rPr>
                <w:rFonts w:eastAsia="標楷體"/>
                <w:bCs/>
              </w:rPr>
              <w:t>最小。而在正常時間</w:t>
            </w:r>
            <w:proofErr w:type="gramStart"/>
            <w:r w:rsidR="00045B58" w:rsidRPr="00410C46">
              <w:rPr>
                <w:rFonts w:eastAsia="標楷體"/>
                <w:bCs/>
              </w:rPr>
              <w:t>選擇權反推</w:t>
            </w:r>
            <w:proofErr w:type="gramEnd"/>
            <w:r w:rsidR="00045B58" w:rsidRPr="00410C46">
              <w:rPr>
                <w:rFonts w:eastAsia="標楷體"/>
                <w:bCs/>
              </w:rPr>
              <w:t>的隱含波動性價格之波動性最大，現貨次之，期貨最小。總體而言，各事件</w:t>
            </w:r>
            <w:r w:rsidRPr="00410C46">
              <w:rPr>
                <w:rFonts w:eastAsia="標楷體"/>
                <w:bCs/>
              </w:rPr>
              <w:t>(</w:t>
            </w:r>
            <w:r w:rsidRPr="00410C46">
              <w:rPr>
                <w:rFonts w:eastAsia="標楷體"/>
                <w:bCs/>
              </w:rPr>
              <w:t>包括正常時期</w:t>
            </w:r>
            <w:r w:rsidRPr="00410C46">
              <w:rPr>
                <w:rFonts w:eastAsia="標楷體"/>
                <w:bCs/>
              </w:rPr>
              <w:t>)</w:t>
            </w:r>
            <w:r w:rsidR="00045B58" w:rsidRPr="00410C46">
              <w:rPr>
                <w:rFonts w:eastAsia="標楷體"/>
                <w:bCs/>
              </w:rPr>
              <w:t>對商品波動性的影響以</w:t>
            </w:r>
            <w:proofErr w:type="gramStart"/>
            <w:r w:rsidR="00045B58" w:rsidRPr="00410C46">
              <w:rPr>
                <w:rFonts w:eastAsia="標楷體"/>
                <w:bCs/>
              </w:rPr>
              <w:t>選擇權反推</w:t>
            </w:r>
            <w:proofErr w:type="gramEnd"/>
            <w:r w:rsidR="00045B58" w:rsidRPr="00410C46">
              <w:rPr>
                <w:rFonts w:eastAsia="標楷體"/>
                <w:bCs/>
              </w:rPr>
              <w:t>的隱含價格</w:t>
            </w:r>
            <w:proofErr w:type="gramStart"/>
            <w:r w:rsidR="00045B58" w:rsidRPr="00410C46">
              <w:rPr>
                <w:rFonts w:eastAsia="標楷體"/>
                <w:bCs/>
              </w:rPr>
              <w:t>最</w:t>
            </w:r>
            <w:proofErr w:type="gramEnd"/>
            <w:r w:rsidR="00045B58" w:rsidRPr="00410C46">
              <w:rPr>
                <w:rFonts w:eastAsia="標楷體"/>
                <w:bCs/>
              </w:rPr>
              <w:t>劇，現貨次之，期貨最小。</w:t>
            </w:r>
            <w:r w:rsidRPr="00410C46">
              <w:rPr>
                <w:rFonts w:eastAsia="標楷體"/>
                <w:bCs/>
              </w:rPr>
              <w:t>另外，</w:t>
            </w:r>
            <w:r w:rsidR="00045B58" w:rsidRPr="00410C46">
              <w:rPr>
                <w:rFonts w:eastAsia="標楷體"/>
                <w:bCs/>
              </w:rPr>
              <w:t>平均而言，</w:t>
            </w:r>
            <w:proofErr w:type="gramStart"/>
            <w:r w:rsidR="00045B58" w:rsidRPr="00410C46">
              <w:rPr>
                <w:rFonts w:eastAsia="標楷體"/>
                <w:bCs/>
              </w:rPr>
              <w:t>臺</w:t>
            </w:r>
            <w:proofErr w:type="gramEnd"/>
            <w:r w:rsidR="00045B58" w:rsidRPr="00410C46">
              <w:rPr>
                <w:rFonts w:eastAsia="標楷體"/>
                <w:bCs/>
              </w:rPr>
              <w:t>股期貨上市</w:t>
            </w:r>
            <w:r w:rsidR="00045B58" w:rsidRPr="00410C46">
              <w:rPr>
                <w:rFonts w:eastAsia="標楷體"/>
                <w:bCs/>
              </w:rPr>
              <w:t>30</w:t>
            </w:r>
            <w:r w:rsidR="00045B58" w:rsidRPr="00410C46">
              <w:rPr>
                <w:rFonts w:eastAsia="標楷體"/>
                <w:bCs/>
              </w:rPr>
              <w:t>天與</w:t>
            </w:r>
            <w:proofErr w:type="gramStart"/>
            <w:r w:rsidR="00045B58" w:rsidRPr="00410C46">
              <w:rPr>
                <w:rFonts w:eastAsia="標楷體"/>
                <w:bCs/>
              </w:rPr>
              <w:t>臺</w:t>
            </w:r>
            <w:proofErr w:type="gramEnd"/>
            <w:r w:rsidR="00045B58" w:rsidRPr="00410C46">
              <w:rPr>
                <w:rFonts w:eastAsia="標楷體"/>
                <w:bCs/>
              </w:rPr>
              <w:t>指選擇權上市</w:t>
            </w:r>
            <w:r w:rsidR="00045B58" w:rsidRPr="00410C46">
              <w:rPr>
                <w:rFonts w:eastAsia="標楷體"/>
                <w:bCs/>
              </w:rPr>
              <w:t>30</w:t>
            </w:r>
            <w:r w:rsidR="00045B58" w:rsidRPr="00410C46">
              <w:rPr>
                <w:rFonts w:eastAsia="標楷體"/>
                <w:bCs/>
              </w:rPr>
              <w:t>天、</w:t>
            </w:r>
            <w:r w:rsidR="00045B58" w:rsidRPr="00410C46">
              <w:rPr>
                <w:rFonts w:eastAsia="標楷體"/>
                <w:bCs/>
              </w:rPr>
              <w:t>150</w:t>
            </w:r>
            <w:r w:rsidR="00045B58" w:rsidRPr="00410C46">
              <w:rPr>
                <w:rFonts w:eastAsia="標楷體"/>
                <w:bCs/>
              </w:rPr>
              <w:t>天及</w:t>
            </w:r>
            <w:r w:rsidR="00045B58" w:rsidRPr="00410C46">
              <w:rPr>
                <w:rFonts w:eastAsia="標楷體"/>
                <w:bCs/>
              </w:rPr>
              <w:t>250</w:t>
            </w:r>
            <w:r w:rsidR="00045B58" w:rsidRPr="00410C46">
              <w:rPr>
                <w:rFonts w:eastAsia="標楷體"/>
                <w:bCs/>
              </w:rPr>
              <w:t>天後，現貨大盤指數波動度對於未預期之報酬衝擊效果之反應下降，顯示</w:t>
            </w:r>
            <w:proofErr w:type="gramStart"/>
            <w:r w:rsidR="00045B58" w:rsidRPr="00410C46">
              <w:rPr>
                <w:rFonts w:eastAsia="標楷體"/>
                <w:bCs/>
              </w:rPr>
              <w:t>臺</w:t>
            </w:r>
            <w:proofErr w:type="gramEnd"/>
            <w:r w:rsidR="00045B58" w:rsidRPr="00410C46">
              <w:rPr>
                <w:rFonts w:eastAsia="標楷體"/>
                <w:bCs/>
              </w:rPr>
              <w:t>股期貨與</w:t>
            </w:r>
            <w:proofErr w:type="gramStart"/>
            <w:r w:rsidR="00045B58" w:rsidRPr="00410C46">
              <w:rPr>
                <w:rFonts w:eastAsia="標楷體"/>
                <w:bCs/>
              </w:rPr>
              <w:t>臺</w:t>
            </w:r>
            <w:proofErr w:type="gramEnd"/>
            <w:r w:rsidR="00045B58" w:rsidRPr="00410C46">
              <w:rPr>
                <w:rFonts w:eastAsia="標楷體"/>
                <w:bCs/>
              </w:rPr>
              <w:t>指選擇權上市後，交易人可利用期貨與選擇權進行避險，故可以降低非預期市場衝擊所面臨之風險，具有穩定市場波動之功能。</w:t>
            </w:r>
          </w:p>
          <w:p w:rsidR="00DF23CD" w:rsidRDefault="00DF23CD" w:rsidP="00DF23CD">
            <w:pPr>
              <w:widowControl/>
              <w:adjustRightInd w:val="0"/>
              <w:snapToGrid w:val="0"/>
              <w:spacing w:line="360" w:lineRule="auto"/>
              <w:ind w:leftChars="300" w:left="720" w:firstLineChars="204" w:firstLine="490"/>
              <w:rPr>
                <w:rFonts w:ascii="標楷體" w:eastAsia="標楷體" w:hAnsi="標楷體"/>
                <w:bCs/>
              </w:rPr>
            </w:pPr>
          </w:p>
          <w:p w:rsidR="00045B58" w:rsidRPr="00AF4AB0" w:rsidRDefault="00045B58" w:rsidP="009B0189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eastAsia="標楷體"/>
              </w:rPr>
            </w:pPr>
            <w:r w:rsidRPr="00AF4AB0">
              <w:rPr>
                <w:rFonts w:eastAsia="標楷體" w:hint="eastAsia"/>
              </w:rPr>
              <w:t>二、</w:t>
            </w:r>
            <w:proofErr w:type="gramStart"/>
            <w:r w:rsidRPr="00AF4AB0">
              <w:rPr>
                <w:rFonts w:eastAsia="標楷體"/>
                <w:bCs/>
              </w:rPr>
              <w:t>臺</w:t>
            </w:r>
            <w:proofErr w:type="gramEnd"/>
            <w:r w:rsidRPr="00AF4AB0">
              <w:rPr>
                <w:rFonts w:eastAsia="標楷體"/>
                <w:bCs/>
              </w:rPr>
              <w:t>股期貨及</w:t>
            </w:r>
            <w:proofErr w:type="gramStart"/>
            <w:r w:rsidRPr="00AF4AB0">
              <w:rPr>
                <w:rFonts w:eastAsia="標楷體" w:hint="eastAsia"/>
                <w:bCs/>
              </w:rPr>
              <w:t>臺</w:t>
            </w:r>
            <w:proofErr w:type="gramEnd"/>
            <w:r w:rsidRPr="00AF4AB0">
              <w:rPr>
                <w:rFonts w:eastAsia="標楷體" w:hint="eastAsia"/>
                <w:bCs/>
              </w:rPr>
              <w:t>指選擇權</w:t>
            </w:r>
            <w:r w:rsidRPr="00AF4AB0">
              <w:rPr>
                <w:rFonts w:eastAsia="標楷體"/>
                <w:bCs/>
              </w:rPr>
              <w:t>對共同基金績效影響</w:t>
            </w:r>
          </w:p>
          <w:p w:rsidR="00DF23CD" w:rsidRPr="00410C46" w:rsidRDefault="00696ED0" w:rsidP="00DF23CD">
            <w:pPr>
              <w:adjustRightInd w:val="0"/>
              <w:snapToGrid w:val="0"/>
              <w:spacing w:line="360" w:lineRule="auto"/>
              <w:ind w:leftChars="283" w:left="679" w:firstLineChars="200" w:firstLine="480"/>
              <w:jc w:val="both"/>
              <w:rPr>
                <w:rFonts w:eastAsia="標楷體"/>
                <w:bCs/>
              </w:rPr>
            </w:pPr>
            <w:r w:rsidRPr="00410C46">
              <w:rPr>
                <w:rFonts w:eastAsia="標楷體"/>
                <w:bCs/>
              </w:rPr>
              <w:t>首先</w:t>
            </w:r>
            <w:r w:rsidR="00045B58" w:rsidRPr="00410C46">
              <w:rPr>
                <w:rFonts w:eastAsia="標楷體"/>
                <w:bCs/>
              </w:rPr>
              <w:t>探討共同基金透過期貨市場進行投資增益或避險操作下，對其績效</w:t>
            </w:r>
            <w:r w:rsidR="00426106" w:rsidRPr="00410C46">
              <w:rPr>
                <w:rFonts w:eastAsia="標楷體"/>
                <w:bCs/>
              </w:rPr>
              <w:t>之助益</w:t>
            </w:r>
            <w:r w:rsidR="00426106" w:rsidRPr="00410C46">
              <w:rPr>
                <w:bCs/>
              </w:rPr>
              <w:t>。</w:t>
            </w:r>
            <w:r w:rsidR="00426106" w:rsidRPr="00410C46">
              <w:rPr>
                <w:rFonts w:eastAsia="標楷體"/>
                <w:bCs/>
              </w:rPr>
              <w:t>若</w:t>
            </w:r>
            <w:r w:rsidR="00045B58" w:rsidRPr="00410C46">
              <w:rPr>
                <w:rFonts w:eastAsia="標楷體"/>
                <w:bCs/>
              </w:rPr>
              <w:t>以基金超額報酬率來衡量基金績效時，當市場超額報酬率</w:t>
            </w:r>
            <w:r w:rsidR="00045B58" w:rsidRPr="00410C46">
              <w:rPr>
                <w:rFonts w:eastAsia="標楷體"/>
                <w:bCs/>
              </w:rPr>
              <w:t>(</w:t>
            </w:r>
            <w:r w:rsidR="00045B58" w:rsidRPr="00410C46">
              <w:rPr>
                <w:rFonts w:eastAsia="標楷體"/>
                <w:bCs/>
              </w:rPr>
              <w:t>月</w:t>
            </w:r>
            <w:r w:rsidR="00045B58" w:rsidRPr="00410C46">
              <w:rPr>
                <w:rFonts w:eastAsia="標楷體"/>
                <w:bCs/>
              </w:rPr>
              <w:t>)</w:t>
            </w:r>
            <w:r w:rsidR="00045B58" w:rsidRPr="00410C46">
              <w:rPr>
                <w:rFonts w:eastAsia="標楷體"/>
                <w:bCs/>
              </w:rPr>
              <w:t>介於</w:t>
            </w:r>
            <w:r w:rsidR="00045B58" w:rsidRPr="00410C46">
              <w:rPr>
                <w:rFonts w:eastAsia="標楷體"/>
                <w:bCs/>
              </w:rPr>
              <w:t>-8~-9%</w:t>
            </w:r>
            <w:r w:rsidR="00045B58" w:rsidRPr="00410C46">
              <w:rPr>
                <w:rFonts w:eastAsia="標楷體"/>
                <w:bCs/>
              </w:rPr>
              <w:t>，</w:t>
            </w:r>
            <w:proofErr w:type="gramStart"/>
            <w:r w:rsidR="00045B58" w:rsidRPr="00410C46">
              <w:rPr>
                <w:rFonts w:eastAsia="標楷體"/>
                <w:bCs/>
              </w:rPr>
              <w:t>除期信基金</w:t>
            </w:r>
            <w:proofErr w:type="gramEnd"/>
            <w:r w:rsidR="00045B58" w:rsidRPr="00410C46">
              <w:rPr>
                <w:rFonts w:eastAsia="標楷體"/>
                <w:bCs/>
              </w:rPr>
              <w:t>外之所有其他類型基金，平均當月報酬率為</w:t>
            </w:r>
            <w:r w:rsidR="00045B58" w:rsidRPr="00410C46">
              <w:rPr>
                <w:rFonts w:eastAsia="標楷體"/>
                <w:bCs/>
              </w:rPr>
              <w:t>-6.17%</w:t>
            </w:r>
            <w:r w:rsidR="00045B58" w:rsidRPr="00410C46">
              <w:rPr>
                <w:rFonts w:eastAsia="標楷體"/>
                <w:bCs/>
              </w:rPr>
              <w:t>，</w:t>
            </w:r>
            <w:proofErr w:type="gramStart"/>
            <w:r w:rsidR="00045B58" w:rsidRPr="00410C46">
              <w:rPr>
                <w:rFonts w:eastAsia="標楷體"/>
                <w:bCs/>
              </w:rPr>
              <w:t>而期信基金</w:t>
            </w:r>
            <w:proofErr w:type="gramEnd"/>
            <w:r w:rsidR="00045B58" w:rsidRPr="00410C46">
              <w:rPr>
                <w:rFonts w:eastAsia="標楷體"/>
                <w:bCs/>
              </w:rPr>
              <w:t>相較於一般類型基金，多出報酬率</w:t>
            </w:r>
            <w:r w:rsidR="00045B58" w:rsidRPr="00410C46">
              <w:rPr>
                <w:rFonts w:eastAsia="標楷體"/>
                <w:bCs/>
              </w:rPr>
              <w:t>6.31%</w:t>
            </w:r>
            <w:r w:rsidR="00045B58" w:rsidRPr="00410C46">
              <w:rPr>
                <w:rFonts w:eastAsia="標楷體"/>
                <w:bCs/>
              </w:rPr>
              <w:t>，而</w:t>
            </w:r>
            <w:proofErr w:type="gramStart"/>
            <w:r w:rsidR="00045B58" w:rsidRPr="00410C46">
              <w:rPr>
                <w:rFonts w:eastAsia="標楷體"/>
                <w:bCs/>
              </w:rPr>
              <w:t>使期信</w:t>
            </w:r>
            <w:proofErr w:type="gramEnd"/>
            <w:r w:rsidR="00045B58" w:rsidRPr="00410C46">
              <w:rPr>
                <w:rFonts w:eastAsia="標楷體"/>
                <w:bCs/>
              </w:rPr>
              <w:t>基金整體報酬率為正，此結果具統計上顯著性。同理，當市場超額報酬率介於</w:t>
            </w:r>
            <w:r w:rsidR="00045B58" w:rsidRPr="00410C46">
              <w:rPr>
                <w:rFonts w:eastAsia="標楷體"/>
                <w:bCs/>
              </w:rPr>
              <w:t>-9~-10%</w:t>
            </w:r>
            <w:r w:rsidR="00045B58" w:rsidRPr="00410C46">
              <w:rPr>
                <w:rFonts w:eastAsia="標楷體"/>
                <w:bCs/>
              </w:rPr>
              <w:t>，</w:t>
            </w:r>
            <w:proofErr w:type="gramStart"/>
            <w:r w:rsidR="00045B58" w:rsidRPr="00410C46">
              <w:rPr>
                <w:rFonts w:eastAsia="標楷體"/>
                <w:bCs/>
              </w:rPr>
              <w:t>除期信基金</w:t>
            </w:r>
            <w:proofErr w:type="gramEnd"/>
            <w:r w:rsidR="00045B58" w:rsidRPr="00410C46">
              <w:rPr>
                <w:rFonts w:eastAsia="標楷體"/>
                <w:bCs/>
              </w:rPr>
              <w:t>外之所有其他類型基金，平均當月報酬率為</w:t>
            </w:r>
            <w:r w:rsidR="00045B58" w:rsidRPr="00410C46">
              <w:rPr>
                <w:rFonts w:eastAsia="標楷體"/>
                <w:bCs/>
              </w:rPr>
              <w:t>-8.25%</w:t>
            </w:r>
            <w:r w:rsidR="00045B58" w:rsidRPr="00410C46">
              <w:rPr>
                <w:rFonts w:eastAsia="標楷體"/>
                <w:bCs/>
              </w:rPr>
              <w:t>，</w:t>
            </w:r>
            <w:proofErr w:type="gramStart"/>
            <w:r w:rsidR="00045B58" w:rsidRPr="00410C46">
              <w:rPr>
                <w:rFonts w:eastAsia="標楷體"/>
                <w:bCs/>
              </w:rPr>
              <w:t>而期信基金</w:t>
            </w:r>
            <w:proofErr w:type="gramEnd"/>
            <w:r w:rsidR="00045B58" w:rsidRPr="00410C46">
              <w:rPr>
                <w:rFonts w:eastAsia="標楷體"/>
                <w:bCs/>
              </w:rPr>
              <w:t>相較於一般其他類型之基金，多出報酬率高達</w:t>
            </w:r>
            <w:r w:rsidR="00045B58" w:rsidRPr="00410C46">
              <w:rPr>
                <w:rFonts w:eastAsia="標楷體"/>
                <w:bCs/>
              </w:rPr>
              <w:t>12.16%</w:t>
            </w:r>
            <w:r w:rsidR="0045151E" w:rsidRPr="00410C46">
              <w:rPr>
                <w:rFonts w:eastAsia="標楷體"/>
                <w:bCs/>
              </w:rPr>
              <w:t>，</w:t>
            </w:r>
            <w:r w:rsidR="00045B58" w:rsidRPr="00410C46">
              <w:rPr>
                <w:rFonts w:eastAsia="標楷體"/>
                <w:bCs/>
              </w:rPr>
              <w:t>此結果仍具統計上顯著性。</w:t>
            </w:r>
            <w:r w:rsidR="00426106" w:rsidRPr="00410C46">
              <w:rPr>
                <w:rFonts w:eastAsia="標楷體"/>
                <w:bCs/>
              </w:rPr>
              <w:t>若以更多樣本期間衡量，在市場超額報酬率低於</w:t>
            </w:r>
            <w:r w:rsidR="00426106" w:rsidRPr="00410C46">
              <w:rPr>
                <w:rFonts w:eastAsia="標楷體"/>
                <w:bCs/>
              </w:rPr>
              <w:t>-7%</w:t>
            </w:r>
            <w:r w:rsidR="00426106" w:rsidRPr="00410C46">
              <w:rPr>
                <w:rFonts w:eastAsia="標楷體"/>
                <w:bCs/>
              </w:rPr>
              <w:t>時，</w:t>
            </w:r>
            <w:proofErr w:type="gramStart"/>
            <w:r w:rsidR="00426106" w:rsidRPr="00410C46">
              <w:rPr>
                <w:rFonts w:eastAsia="標楷體"/>
                <w:bCs/>
              </w:rPr>
              <w:t>期信基金</w:t>
            </w:r>
            <w:proofErr w:type="gramEnd"/>
            <w:r w:rsidR="00426106" w:rsidRPr="00410C46">
              <w:rPr>
                <w:rFonts w:eastAsia="標楷體"/>
                <w:bCs/>
              </w:rPr>
              <w:t>相較於「國內投資股票型」基金，多出超額報酬率平均達到</w:t>
            </w:r>
            <w:r w:rsidR="00426106" w:rsidRPr="00410C46">
              <w:rPr>
                <w:rFonts w:eastAsia="標楷體"/>
                <w:bCs/>
              </w:rPr>
              <w:t>5.54%</w:t>
            </w:r>
            <w:r w:rsidR="00426106" w:rsidRPr="00410C46">
              <w:rPr>
                <w:rFonts w:eastAsia="標楷體"/>
                <w:bCs/>
              </w:rPr>
              <w:t>，此結果具統計上顯著性。上述結果，當基金績效改以基金季調整後之報酬率來衡量，結論仍然一致。</w:t>
            </w:r>
          </w:p>
          <w:p w:rsidR="00DF23CD" w:rsidRPr="00410C46" w:rsidRDefault="00365FA7" w:rsidP="00DF23CD">
            <w:pPr>
              <w:adjustRightInd w:val="0"/>
              <w:snapToGrid w:val="0"/>
              <w:spacing w:line="360" w:lineRule="auto"/>
              <w:ind w:leftChars="283" w:left="679" w:firstLineChars="200" w:firstLine="480"/>
              <w:jc w:val="both"/>
              <w:rPr>
                <w:rFonts w:eastAsia="標楷體"/>
                <w:color w:val="000000"/>
              </w:rPr>
            </w:pPr>
            <w:r w:rsidRPr="00410C46">
              <w:rPr>
                <w:rFonts w:eastAsia="標楷體"/>
                <w:color w:val="000000"/>
              </w:rPr>
              <w:t>在獲利穩定性討論上，當市場超額報酬率低於</w:t>
            </w:r>
            <w:r w:rsidRPr="00410C46">
              <w:rPr>
                <w:rFonts w:eastAsia="標楷體"/>
                <w:color w:val="000000"/>
              </w:rPr>
              <w:t>-7%</w:t>
            </w:r>
            <w:r w:rsidRPr="00410C46">
              <w:rPr>
                <w:rFonts w:eastAsia="標楷體"/>
                <w:color w:val="000000"/>
              </w:rPr>
              <w:t>時，</w:t>
            </w:r>
            <w:proofErr w:type="gramStart"/>
            <w:r w:rsidRPr="00410C46">
              <w:rPr>
                <w:rFonts w:eastAsia="標楷體"/>
                <w:color w:val="000000"/>
              </w:rPr>
              <w:t>期信基金</w:t>
            </w:r>
            <w:proofErr w:type="gramEnd"/>
            <w:r w:rsidRPr="00410C46">
              <w:rPr>
                <w:rFonts w:eastAsia="標楷體"/>
                <w:color w:val="000000"/>
              </w:rPr>
              <w:t>相較於</w:t>
            </w:r>
            <w:r w:rsidRPr="00410C46">
              <w:rPr>
                <w:rFonts w:eastAsia="標楷體"/>
                <w:color w:val="000000"/>
              </w:rPr>
              <w:t xml:space="preserve"> </w:t>
            </w:r>
            <w:r w:rsidRPr="00410C46">
              <w:rPr>
                <w:rFonts w:eastAsia="標楷體"/>
                <w:color w:val="000000"/>
              </w:rPr>
              <w:t>「國內投資股票型」基金，可以使基金標準差減少</w:t>
            </w:r>
            <w:r w:rsidRPr="00410C46">
              <w:rPr>
                <w:rFonts w:eastAsia="標楷體"/>
                <w:color w:val="000000"/>
              </w:rPr>
              <w:t>1.96% (</w:t>
            </w:r>
            <w:r w:rsidRPr="00410C46">
              <w:rPr>
                <w:rFonts w:eastAsia="標楷體"/>
                <w:color w:val="000000"/>
              </w:rPr>
              <w:t>月標準差</w:t>
            </w:r>
            <w:r w:rsidRPr="00410C46">
              <w:rPr>
                <w:rFonts w:eastAsia="標楷體"/>
                <w:color w:val="000000"/>
              </w:rPr>
              <w:t>)</w:t>
            </w:r>
            <w:r w:rsidR="006C4D8A">
              <w:rPr>
                <w:rFonts w:eastAsia="標楷體" w:hint="eastAsia"/>
                <w:color w:val="000000"/>
              </w:rPr>
              <w:t>、</w:t>
            </w:r>
            <w:r w:rsidRPr="00410C46">
              <w:rPr>
                <w:rFonts w:eastAsia="標楷體"/>
                <w:color w:val="000000"/>
              </w:rPr>
              <w:t>年標準差</w:t>
            </w:r>
            <w:r w:rsidR="006C4D8A">
              <w:rPr>
                <w:rFonts w:eastAsia="標楷體" w:hint="eastAsia"/>
                <w:color w:val="000000"/>
              </w:rPr>
              <w:t>減少</w:t>
            </w:r>
            <w:r w:rsidR="006C4D8A">
              <w:rPr>
                <w:rFonts w:eastAsia="標楷體"/>
                <w:color w:val="000000"/>
              </w:rPr>
              <w:t>6.79%</w:t>
            </w:r>
            <w:r w:rsidRPr="00410C46">
              <w:rPr>
                <w:rFonts w:eastAsia="標楷體"/>
                <w:color w:val="000000"/>
              </w:rPr>
              <w:t>或超額報酬少跌</w:t>
            </w:r>
            <w:r w:rsidRPr="00410C46">
              <w:rPr>
                <w:rFonts w:eastAsia="標楷體"/>
                <w:color w:val="000000"/>
              </w:rPr>
              <w:t>2.04% (</w:t>
            </w:r>
            <w:r w:rsidRPr="00410C46">
              <w:rPr>
                <w:rFonts w:eastAsia="標楷體"/>
                <w:color w:val="000000"/>
              </w:rPr>
              <w:t>以最小值來看</w:t>
            </w:r>
            <w:r w:rsidRPr="00410C46">
              <w:rPr>
                <w:rFonts w:eastAsia="標楷體"/>
                <w:color w:val="000000"/>
              </w:rPr>
              <w:t>)</w:t>
            </w:r>
            <w:r w:rsidRPr="00410C46">
              <w:rPr>
                <w:rFonts w:eastAsia="標楷體"/>
                <w:color w:val="000000"/>
              </w:rPr>
              <w:t>。</w:t>
            </w:r>
            <w:r w:rsidR="00426106" w:rsidRPr="00410C46">
              <w:rPr>
                <w:rFonts w:eastAsia="標楷體"/>
                <w:color w:val="000000"/>
              </w:rPr>
              <w:t>搭配</w:t>
            </w:r>
            <w:r w:rsidR="00DF23CD" w:rsidRPr="00410C46">
              <w:rPr>
                <w:rFonts w:eastAsia="標楷體"/>
                <w:color w:val="000000"/>
              </w:rPr>
              <w:t>操作</w:t>
            </w:r>
            <w:r w:rsidR="00426106" w:rsidRPr="00410C46">
              <w:rPr>
                <w:rFonts w:eastAsia="標楷體"/>
                <w:color w:val="000000"/>
              </w:rPr>
              <w:t>策略來看，「國內投資固定收益一般債券型」、「指數型」等基金，顯著暴露</w:t>
            </w:r>
            <w:proofErr w:type="gramStart"/>
            <w:r w:rsidR="00426106" w:rsidRPr="00410C46">
              <w:rPr>
                <w:rFonts w:eastAsia="標楷體"/>
                <w:color w:val="000000"/>
              </w:rPr>
              <w:t>於左尾風險</w:t>
            </w:r>
            <w:proofErr w:type="gramEnd"/>
            <w:r w:rsidR="00426106" w:rsidRPr="00410C46">
              <w:rPr>
                <w:rFonts w:eastAsia="標楷體"/>
                <w:color w:val="000000"/>
              </w:rPr>
              <w:t>，相較於其他積極管理之基金，長期持有「國內投資固定收益一般債券型」、「指數型」之個人或機構投資人，更須注意避險，尤其當市場看空時。而</w:t>
            </w:r>
            <w:r w:rsidRPr="00410C46">
              <w:rPr>
                <w:rFonts w:eastAsia="標楷體"/>
                <w:color w:val="000000"/>
              </w:rPr>
              <w:t>國內「</w:t>
            </w:r>
            <w:hyperlink r:id="rId7" w:history="1">
              <w:proofErr w:type="gramStart"/>
              <w:r w:rsidRPr="00410C46">
                <w:rPr>
                  <w:rFonts w:eastAsia="標楷體"/>
                  <w:color w:val="000000"/>
                </w:rPr>
                <w:t>期信基金</w:t>
              </w:r>
              <w:proofErr w:type="gramEnd"/>
            </w:hyperlink>
            <w:r w:rsidRPr="00410C46">
              <w:rPr>
                <w:rFonts w:eastAsia="標楷體"/>
                <w:color w:val="000000"/>
              </w:rPr>
              <w:t>」在操作上</w:t>
            </w:r>
            <w:r w:rsidR="00426106" w:rsidRPr="00410C46">
              <w:rPr>
                <w:rFonts w:eastAsia="標楷體"/>
                <w:color w:val="000000"/>
              </w:rPr>
              <w:t>一般</w:t>
            </w:r>
            <w:r w:rsidRPr="00410C46">
              <w:rPr>
                <w:rFonts w:eastAsia="標楷體"/>
                <w:color w:val="000000"/>
              </w:rPr>
              <w:t>採取</w:t>
            </w:r>
            <w:proofErr w:type="gramStart"/>
            <w:r w:rsidRPr="00410C46">
              <w:rPr>
                <w:rFonts w:eastAsia="標楷體"/>
                <w:color w:val="000000"/>
              </w:rPr>
              <w:t>價平買權</w:t>
            </w:r>
            <w:proofErr w:type="gramEnd"/>
            <w:r w:rsidRPr="00410C46">
              <w:rPr>
                <w:rFonts w:eastAsia="標楷體"/>
                <w:color w:val="000000"/>
              </w:rPr>
              <w:t>策略。</w:t>
            </w:r>
            <w:r w:rsidR="00426106" w:rsidRPr="00410C46">
              <w:rPr>
                <w:rFonts w:eastAsia="標楷體"/>
                <w:color w:val="000000"/>
              </w:rPr>
              <w:t>但</w:t>
            </w:r>
            <w:r w:rsidRPr="00410C46">
              <w:rPr>
                <w:rFonts w:eastAsia="標楷體"/>
                <w:color w:val="000000"/>
              </w:rPr>
              <w:t>當市場負面事件發生時</w:t>
            </w:r>
            <w:r w:rsidRPr="00410C46">
              <w:rPr>
                <w:rFonts w:eastAsia="標楷體"/>
                <w:color w:val="000000"/>
              </w:rPr>
              <w:t>(</w:t>
            </w:r>
            <w:r w:rsidRPr="00410C46">
              <w:rPr>
                <w:rFonts w:eastAsia="標楷體"/>
                <w:color w:val="000000"/>
              </w:rPr>
              <w:t>以市場超額報酬率低於</w:t>
            </w:r>
            <w:r w:rsidRPr="00410C46">
              <w:rPr>
                <w:rFonts w:eastAsia="標楷體"/>
                <w:color w:val="000000"/>
              </w:rPr>
              <w:t>-5%</w:t>
            </w:r>
            <w:r w:rsidRPr="00410C46">
              <w:rPr>
                <w:rFonts w:eastAsia="標楷體"/>
                <w:color w:val="000000"/>
              </w:rPr>
              <w:t>來衡量</w:t>
            </w:r>
            <w:r w:rsidRPr="00410C46">
              <w:rPr>
                <w:rFonts w:eastAsia="標楷體"/>
                <w:color w:val="000000"/>
              </w:rPr>
              <w:t>)</w:t>
            </w:r>
            <w:r w:rsidRPr="00410C46">
              <w:rPr>
                <w:rFonts w:eastAsia="標楷體"/>
                <w:color w:val="000000"/>
              </w:rPr>
              <w:t>，一般共同基金對選擇權風險因子</w:t>
            </w:r>
            <w:proofErr w:type="gramStart"/>
            <w:r w:rsidRPr="00410C46">
              <w:rPr>
                <w:rFonts w:eastAsia="標楷體"/>
                <w:color w:val="000000"/>
              </w:rPr>
              <w:t>之曝險程度</w:t>
            </w:r>
            <w:proofErr w:type="gramEnd"/>
            <w:r w:rsidRPr="00410C46">
              <w:rPr>
                <w:rFonts w:eastAsia="標楷體"/>
                <w:color w:val="000000"/>
              </w:rPr>
              <w:t>沒有任何變化，但</w:t>
            </w:r>
            <w:hyperlink r:id="rId8" w:history="1">
              <w:proofErr w:type="gramStart"/>
              <w:r w:rsidRPr="00410C46">
                <w:rPr>
                  <w:rFonts w:eastAsia="標楷體"/>
                  <w:color w:val="000000"/>
                </w:rPr>
                <w:t>期信基金</w:t>
              </w:r>
              <w:proofErr w:type="gramEnd"/>
            </w:hyperlink>
            <w:r w:rsidRPr="00410C46">
              <w:rPr>
                <w:rFonts w:eastAsia="標楷體"/>
                <w:color w:val="000000"/>
              </w:rPr>
              <w:t>對選擇權風險因子</w:t>
            </w:r>
            <w:proofErr w:type="gramStart"/>
            <w:r w:rsidRPr="00410C46">
              <w:rPr>
                <w:rFonts w:eastAsia="標楷體"/>
                <w:color w:val="000000"/>
              </w:rPr>
              <w:t>之曝險程度</w:t>
            </w:r>
            <w:proofErr w:type="gramEnd"/>
            <w:r w:rsidRPr="00410C46">
              <w:rPr>
                <w:rFonts w:eastAsia="標楷體"/>
                <w:color w:val="000000"/>
              </w:rPr>
              <w:t>確有明顯變化，</w:t>
            </w:r>
            <w:r w:rsidR="00DF23CD" w:rsidRPr="00410C46">
              <w:rPr>
                <w:rFonts w:eastAsia="標楷體"/>
                <w:color w:val="000000"/>
              </w:rPr>
              <w:t>且其</w:t>
            </w:r>
            <w:r w:rsidR="006C4D8A">
              <w:rPr>
                <w:rFonts w:eastAsia="標楷體"/>
                <w:color w:val="000000"/>
              </w:rPr>
              <w:t>操作策略包含</w:t>
            </w:r>
            <w:r w:rsidRPr="00410C46">
              <w:rPr>
                <w:rFonts w:eastAsia="標楷體"/>
                <w:color w:val="000000"/>
              </w:rPr>
              <w:t>買</w:t>
            </w:r>
            <w:r w:rsidR="006C4D8A">
              <w:rPr>
                <w:rFonts w:eastAsia="標楷體" w:hint="eastAsia"/>
                <w:color w:val="000000"/>
              </w:rPr>
              <w:t>進</w:t>
            </w:r>
            <w:r w:rsidRPr="00410C46">
              <w:rPr>
                <w:rFonts w:eastAsia="標楷體"/>
                <w:color w:val="000000"/>
              </w:rPr>
              <w:t>賣權、採取</w:t>
            </w:r>
            <w:r w:rsidRPr="00410C46">
              <w:rPr>
                <w:rFonts w:eastAsia="標楷體"/>
                <w:color w:val="000000"/>
              </w:rPr>
              <w:lastRenderedPageBreak/>
              <w:t>賣權空頭價差</w:t>
            </w:r>
            <w:r w:rsidRPr="00410C46">
              <w:rPr>
                <w:rFonts w:eastAsia="標楷體"/>
                <w:color w:val="000000"/>
              </w:rPr>
              <w:t>(Bear Put Spread)</w:t>
            </w:r>
            <w:r w:rsidRPr="00410C46">
              <w:rPr>
                <w:rFonts w:eastAsia="標楷體"/>
                <w:color w:val="000000"/>
              </w:rPr>
              <w:t>、或採取買權空頭價差</w:t>
            </w:r>
            <w:r w:rsidRPr="00410C46">
              <w:rPr>
                <w:rFonts w:eastAsia="標楷體"/>
                <w:color w:val="000000"/>
              </w:rPr>
              <w:t>(Bear Call Spread)</w:t>
            </w:r>
            <w:r w:rsidRPr="00410C46">
              <w:rPr>
                <w:rFonts w:eastAsia="標楷體"/>
                <w:color w:val="000000"/>
              </w:rPr>
              <w:t>等，</w:t>
            </w:r>
            <w:r w:rsidR="00DF23CD" w:rsidRPr="00410C46">
              <w:rPr>
                <w:rFonts w:eastAsia="標楷體"/>
                <w:color w:val="000000"/>
              </w:rPr>
              <w:t>尤其是採取買權空頭價差</w:t>
            </w:r>
            <w:r w:rsidR="00DF23CD" w:rsidRPr="00410C46">
              <w:rPr>
                <w:rFonts w:eastAsia="標楷體"/>
                <w:color w:val="000000"/>
              </w:rPr>
              <w:t xml:space="preserve">(Bear Call Spread) </w:t>
            </w:r>
            <w:r w:rsidR="00DF23CD" w:rsidRPr="00410C46">
              <w:rPr>
                <w:rFonts w:eastAsia="標楷體"/>
                <w:color w:val="000000"/>
              </w:rPr>
              <w:t>，這些策略均有助於共同基金透過期貨市場在市場看空時，維持上述結果所顯示之</w:t>
            </w:r>
            <w:r w:rsidRPr="00410C46">
              <w:rPr>
                <w:rFonts w:eastAsia="標楷體"/>
                <w:color w:val="000000"/>
              </w:rPr>
              <w:t>績效及獲利穩定性。</w:t>
            </w:r>
          </w:p>
          <w:p w:rsidR="00DF23CD" w:rsidRPr="00045B58" w:rsidRDefault="00DF23CD" w:rsidP="00DF23CD">
            <w:pPr>
              <w:adjustRightInd w:val="0"/>
              <w:snapToGrid w:val="0"/>
              <w:spacing w:line="500" w:lineRule="exact"/>
              <w:ind w:leftChars="283" w:left="679" w:firstLineChars="200" w:firstLine="480"/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5B7484" w:rsidRDefault="005B7484" w:rsidP="00F71ECC"/>
    <w:p w:rsidR="005B7484" w:rsidRPr="00F71ECC" w:rsidRDefault="005B7484"/>
    <w:sectPr w:rsidR="005B7484" w:rsidRPr="00F71ECC" w:rsidSect="007C22AC"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A7" w:rsidRDefault="007876A7" w:rsidP="00F71ECC">
      <w:r>
        <w:separator/>
      </w:r>
    </w:p>
  </w:endnote>
  <w:endnote w:type="continuationSeparator" w:id="0">
    <w:p w:rsidR="007876A7" w:rsidRDefault="007876A7" w:rsidP="00F7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84" w:rsidRDefault="001E2855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B748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B7484">
      <w:rPr>
        <w:rStyle w:val="a3"/>
        <w:noProof/>
      </w:rPr>
      <w:t>3</w:t>
    </w:r>
    <w:r>
      <w:rPr>
        <w:rStyle w:val="a3"/>
      </w:rPr>
      <w:fldChar w:fldCharType="end"/>
    </w:r>
  </w:p>
  <w:p w:rsidR="005B7484" w:rsidRDefault="005B74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84" w:rsidRDefault="001E2855">
    <w:pPr>
      <w:pStyle w:val="a7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 w:rsidR="005B7484"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E4529C">
      <w:rPr>
        <w:rStyle w:val="a3"/>
        <w:noProof/>
        <w:sz w:val="24"/>
      </w:rPr>
      <w:t>4</w:t>
    </w:r>
    <w:r>
      <w:rPr>
        <w:rStyle w:val="a3"/>
        <w:sz w:val="24"/>
      </w:rPr>
      <w:fldChar w:fldCharType="end"/>
    </w:r>
  </w:p>
  <w:p w:rsidR="005B7484" w:rsidRDefault="005B74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A7" w:rsidRDefault="007876A7" w:rsidP="00F71ECC">
      <w:r>
        <w:separator/>
      </w:r>
    </w:p>
  </w:footnote>
  <w:footnote w:type="continuationSeparator" w:id="0">
    <w:p w:rsidR="007876A7" w:rsidRDefault="007876A7" w:rsidP="00F7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806"/>
    <w:multiLevelType w:val="hybridMultilevel"/>
    <w:tmpl w:val="32BE1E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87E5AA0"/>
    <w:multiLevelType w:val="hybridMultilevel"/>
    <w:tmpl w:val="E1D2F740"/>
    <w:lvl w:ilvl="0" w:tplc="DF1A98CE">
      <w:start w:val="1"/>
      <w:numFmt w:val="decimal"/>
      <w:lvlText w:val="(%1)"/>
      <w:lvlJc w:val="left"/>
      <w:pPr>
        <w:ind w:left="1920" w:hanging="480"/>
      </w:pPr>
      <w:rPr>
        <w:rFonts w:cs="Times New Roman" w:hint="default"/>
      </w:rPr>
    </w:lvl>
    <w:lvl w:ilvl="1" w:tplc="DD406608">
      <w:start w:val="1"/>
      <w:numFmt w:val="decimal"/>
      <w:lvlText w:val="%2."/>
      <w:lvlJc w:val="left"/>
      <w:pPr>
        <w:ind w:left="1275" w:hanging="79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3872FAF"/>
    <w:multiLevelType w:val="hybridMultilevel"/>
    <w:tmpl w:val="F2D804B6"/>
    <w:lvl w:ilvl="0" w:tplc="0409000F">
      <w:start w:val="1"/>
      <w:numFmt w:val="decimal"/>
      <w:lvlText w:val="%1."/>
      <w:lvlJc w:val="left"/>
      <w:pPr>
        <w:ind w:left="98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" w15:restartNumberingAfterBreak="0">
    <w:nsid w:val="2A095EDA"/>
    <w:multiLevelType w:val="hybridMultilevel"/>
    <w:tmpl w:val="484A9ED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2ED13DCD"/>
    <w:multiLevelType w:val="hybridMultilevel"/>
    <w:tmpl w:val="39F6DE66"/>
    <w:lvl w:ilvl="0" w:tplc="F41EA28A">
      <w:start w:val="1"/>
      <w:numFmt w:val="ideographLegalTraditional"/>
      <w:lvlText w:val="%1、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 w15:restartNumberingAfterBreak="0">
    <w:nsid w:val="370F07B5"/>
    <w:multiLevelType w:val="hybridMultilevel"/>
    <w:tmpl w:val="C428BEC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447C0CCE"/>
    <w:multiLevelType w:val="multilevel"/>
    <w:tmpl w:val="7C9611A2"/>
    <w:lvl w:ilvl="0">
      <w:start w:val="1"/>
      <w:numFmt w:val="decimal"/>
      <w:pStyle w:val="1"/>
      <w:suff w:val="nothing"/>
      <w:lvlText w:val="%1"/>
      <w:lvlJc w:val="left"/>
      <w:pPr>
        <w:ind w:left="425" w:hanging="425"/>
      </w:pPr>
      <w:rPr>
        <w:rFonts w:ascii="Times New Roman" w:eastAsia="標楷體" w:hAnsi="Times New Roman" w:cs="Times New Roman" w:hint="default"/>
        <w:vanish/>
      </w:rPr>
    </w:lvl>
    <w:lvl w:ilvl="1">
      <w:start w:val="1"/>
      <w:numFmt w:val="taiwaneseCountingThousand"/>
      <w:pStyle w:val="2"/>
      <w:suff w:val="nothing"/>
      <w:lvlText w:val="第%2節、"/>
      <w:lvlJc w:val="left"/>
      <w:pPr>
        <w:ind w:left="2694" w:hanging="567"/>
      </w:pPr>
      <w:rPr>
        <w:rFonts w:cs="Times New Roman"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7" w15:restartNumberingAfterBreak="0">
    <w:nsid w:val="50423D53"/>
    <w:multiLevelType w:val="hybridMultilevel"/>
    <w:tmpl w:val="AEF6C85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57AA578B"/>
    <w:multiLevelType w:val="hybridMultilevel"/>
    <w:tmpl w:val="EC4482E8"/>
    <w:lvl w:ilvl="0" w:tplc="46940BEA">
      <w:start w:val="1"/>
      <w:numFmt w:val="taiwaneseCountingThousand"/>
      <w:lvlText w:val="(%1)、"/>
      <w:lvlJc w:val="left"/>
      <w:pPr>
        <w:ind w:left="104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9" w15:restartNumberingAfterBreak="0">
    <w:nsid w:val="76001F08"/>
    <w:multiLevelType w:val="hybridMultilevel"/>
    <w:tmpl w:val="3894F576"/>
    <w:lvl w:ilvl="0" w:tplc="0409000F">
      <w:start w:val="1"/>
      <w:numFmt w:val="decimal"/>
      <w:lvlText w:val="%1."/>
      <w:lvlJc w:val="left"/>
      <w:pPr>
        <w:ind w:left="98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10" w15:restartNumberingAfterBreak="0">
    <w:nsid w:val="7A4A45DA"/>
    <w:multiLevelType w:val="hybridMultilevel"/>
    <w:tmpl w:val="F59A954A"/>
    <w:lvl w:ilvl="0" w:tplc="64F6A16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CC"/>
    <w:rsid w:val="00002724"/>
    <w:rsid w:val="000118E4"/>
    <w:rsid w:val="000357A9"/>
    <w:rsid w:val="00045B58"/>
    <w:rsid w:val="000936AC"/>
    <w:rsid w:val="00094572"/>
    <w:rsid w:val="000F2CAC"/>
    <w:rsid w:val="00102F2C"/>
    <w:rsid w:val="001664A3"/>
    <w:rsid w:val="001A6008"/>
    <w:rsid w:val="001B153A"/>
    <w:rsid w:val="001B323F"/>
    <w:rsid w:val="001C6BC7"/>
    <w:rsid w:val="001C7E94"/>
    <w:rsid w:val="001E2855"/>
    <w:rsid w:val="00202814"/>
    <w:rsid w:val="00265474"/>
    <w:rsid w:val="00294B56"/>
    <w:rsid w:val="003532FC"/>
    <w:rsid w:val="00355ADC"/>
    <w:rsid w:val="00365FA7"/>
    <w:rsid w:val="00394D13"/>
    <w:rsid w:val="003A0A56"/>
    <w:rsid w:val="00410C46"/>
    <w:rsid w:val="00423B63"/>
    <w:rsid w:val="00426106"/>
    <w:rsid w:val="0045151E"/>
    <w:rsid w:val="00456757"/>
    <w:rsid w:val="00462F28"/>
    <w:rsid w:val="00474105"/>
    <w:rsid w:val="00480653"/>
    <w:rsid w:val="004D24CF"/>
    <w:rsid w:val="004F6278"/>
    <w:rsid w:val="00512AD5"/>
    <w:rsid w:val="005310CA"/>
    <w:rsid w:val="00545888"/>
    <w:rsid w:val="00591DC5"/>
    <w:rsid w:val="005B7484"/>
    <w:rsid w:val="005C25ED"/>
    <w:rsid w:val="005C2A08"/>
    <w:rsid w:val="005D3914"/>
    <w:rsid w:val="00607FF5"/>
    <w:rsid w:val="006271C4"/>
    <w:rsid w:val="00627765"/>
    <w:rsid w:val="00636217"/>
    <w:rsid w:val="00673ACD"/>
    <w:rsid w:val="00696ED0"/>
    <w:rsid w:val="006A3F5B"/>
    <w:rsid w:val="006B4722"/>
    <w:rsid w:val="006B48A7"/>
    <w:rsid w:val="006B68C4"/>
    <w:rsid w:val="006C4D8A"/>
    <w:rsid w:val="006D0808"/>
    <w:rsid w:val="006D5D1B"/>
    <w:rsid w:val="006F4B33"/>
    <w:rsid w:val="006F569B"/>
    <w:rsid w:val="0076546C"/>
    <w:rsid w:val="00772374"/>
    <w:rsid w:val="007876A7"/>
    <w:rsid w:val="007979D5"/>
    <w:rsid w:val="007B1DFF"/>
    <w:rsid w:val="007C22AC"/>
    <w:rsid w:val="007C3A91"/>
    <w:rsid w:val="007C6A4F"/>
    <w:rsid w:val="007D0E34"/>
    <w:rsid w:val="007F07DB"/>
    <w:rsid w:val="007F12EF"/>
    <w:rsid w:val="00806188"/>
    <w:rsid w:val="00824C41"/>
    <w:rsid w:val="00826C28"/>
    <w:rsid w:val="008350BE"/>
    <w:rsid w:val="008903CC"/>
    <w:rsid w:val="00893C83"/>
    <w:rsid w:val="0089710C"/>
    <w:rsid w:val="008D4FA7"/>
    <w:rsid w:val="008E26FB"/>
    <w:rsid w:val="008E49D0"/>
    <w:rsid w:val="008E68C9"/>
    <w:rsid w:val="00903B8E"/>
    <w:rsid w:val="009506A8"/>
    <w:rsid w:val="00977E01"/>
    <w:rsid w:val="009B0189"/>
    <w:rsid w:val="00A00335"/>
    <w:rsid w:val="00A10999"/>
    <w:rsid w:val="00AE636F"/>
    <w:rsid w:val="00AF4AB0"/>
    <w:rsid w:val="00B21B42"/>
    <w:rsid w:val="00B3745F"/>
    <w:rsid w:val="00B46B49"/>
    <w:rsid w:val="00BA39E6"/>
    <w:rsid w:val="00BC17C8"/>
    <w:rsid w:val="00BC219B"/>
    <w:rsid w:val="00BD5711"/>
    <w:rsid w:val="00BF7CDF"/>
    <w:rsid w:val="00CA33A4"/>
    <w:rsid w:val="00CA5444"/>
    <w:rsid w:val="00CA6333"/>
    <w:rsid w:val="00CC7DB6"/>
    <w:rsid w:val="00CE76D5"/>
    <w:rsid w:val="00D316B1"/>
    <w:rsid w:val="00D5277E"/>
    <w:rsid w:val="00D67D90"/>
    <w:rsid w:val="00D7117B"/>
    <w:rsid w:val="00D95B0D"/>
    <w:rsid w:val="00DA5F93"/>
    <w:rsid w:val="00DF23CD"/>
    <w:rsid w:val="00E1598E"/>
    <w:rsid w:val="00E4529C"/>
    <w:rsid w:val="00E85C63"/>
    <w:rsid w:val="00E907AC"/>
    <w:rsid w:val="00EF44AD"/>
    <w:rsid w:val="00F71ECC"/>
    <w:rsid w:val="00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2C96CA-6DB0-4B07-8BCB-9F400075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CC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277E"/>
    <w:pPr>
      <w:numPr>
        <w:numId w:val="9"/>
      </w:numPr>
      <w:adjustRightInd w:val="0"/>
      <w:snapToGrid w:val="0"/>
      <w:spacing w:before="100" w:beforeAutospacing="1" w:after="100" w:afterAutospacing="1" w:line="360" w:lineRule="auto"/>
      <w:jc w:val="center"/>
      <w:outlineLvl w:val="0"/>
    </w:pPr>
    <w:rPr>
      <w:rFonts w:eastAsia="標楷體" w:hAnsi="標楷體"/>
      <w:b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277E"/>
    <w:pPr>
      <w:numPr>
        <w:ilvl w:val="1"/>
        <w:numId w:val="9"/>
      </w:numPr>
      <w:adjustRightInd w:val="0"/>
      <w:snapToGrid w:val="0"/>
      <w:spacing w:before="100" w:beforeAutospacing="1" w:after="100" w:afterAutospacing="1" w:line="360" w:lineRule="auto"/>
      <w:jc w:val="center"/>
      <w:outlineLvl w:val="1"/>
    </w:pPr>
    <w:rPr>
      <w:rFonts w:eastAsia="標楷體" w:hAnsi="標楷體"/>
      <w:b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5277E"/>
    <w:pPr>
      <w:widowControl/>
      <w:numPr>
        <w:ilvl w:val="2"/>
        <w:numId w:val="9"/>
      </w:numPr>
      <w:spacing w:before="225" w:line="360" w:lineRule="auto"/>
      <w:outlineLvl w:val="2"/>
    </w:pPr>
    <w:rPr>
      <w:rFonts w:ascii="Arial Unicode MS" w:eastAsia="Arial Unicode MS" w:hAnsi="Arial Unicode MS" w:cs="Arial Unicode MS"/>
      <w:color w:val="005994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5277E"/>
    <w:pPr>
      <w:keepNext/>
      <w:numPr>
        <w:ilvl w:val="3"/>
        <w:numId w:val="9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D5277E"/>
    <w:pPr>
      <w:keepNext/>
      <w:numPr>
        <w:ilvl w:val="4"/>
        <w:numId w:val="9"/>
      </w:numPr>
      <w:spacing w:line="720" w:lineRule="auto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D5277E"/>
    <w:pPr>
      <w:keepNext/>
      <w:numPr>
        <w:ilvl w:val="5"/>
        <w:numId w:val="9"/>
      </w:numPr>
      <w:spacing w:line="720" w:lineRule="auto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D5277E"/>
    <w:pPr>
      <w:keepNext/>
      <w:numPr>
        <w:ilvl w:val="6"/>
        <w:numId w:val="9"/>
      </w:numPr>
      <w:spacing w:line="720" w:lineRule="auto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D5277E"/>
    <w:pPr>
      <w:keepNext/>
      <w:numPr>
        <w:ilvl w:val="7"/>
        <w:numId w:val="9"/>
      </w:numPr>
      <w:spacing w:line="720" w:lineRule="auto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D5277E"/>
    <w:pPr>
      <w:keepNext/>
      <w:numPr>
        <w:ilvl w:val="8"/>
        <w:numId w:val="9"/>
      </w:numPr>
      <w:spacing w:line="720" w:lineRule="auto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5277E"/>
    <w:rPr>
      <w:rFonts w:ascii="Times New Roman" w:eastAsia="標楷體" w:hAnsi="標楷體" w:cs="Times New Roman"/>
      <w:b/>
      <w:sz w:val="32"/>
      <w:szCs w:val="32"/>
    </w:rPr>
  </w:style>
  <w:style w:type="character" w:customStyle="1" w:styleId="20">
    <w:name w:val="標題 2 字元"/>
    <w:basedOn w:val="a0"/>
    <w:link w:val="2"/>
    <w:uiPriority w:val="99"/>
    <w:locked/>
    <w:rsid w:val="00D5277E"/>
    <w:rPr>
      <w:rFonts w:ascii="Times New Roman" w:eastAsia="標楷體" w:hAnsi="標楷體" w:cs="Times New Roman"/>
      <w:b/>
      <w:sz w:val="28"/>
      <w:szCs w:val="28"/>
    </w:rPr>
  </w:style>
  <w:style w:type="character" w:customStyle="1" w:styleId="30">
    <w:name w:val="標題 3 字元"/>
    <w:basedOn w:val="a0"/>
    <w:link w:val="3"/>
    <w:uiPriority w:val="99"/>
    <w:locked/>
    <w:rsid w:val="00D5277E"/>
    <w:rPr>
      <w:rFonts w:ascii="Arial Unicode MS" w:eastAsia="Arial Unicode MS" w:hAnsi="Arial Unicode MS" w:cs="Arial Unicode MS"/>
      <w:color w:val="005994"/>
      <w:spacing w:val="15"/>
      <w:kern w:val="0"/>
      <w:sz w:val="20"/>
      <w:szCs w:val="20"/>
    </w:rPr>
  </w:style>
  <w:style w:type="character" w:customStyle="1" w:styleId="40">
    <w:name w:val="標題 4 字元"/>
    <w:basedOn w:val="a0"/>
    <w:link w:val="4"/>
    <w:uiPriority w:val="99"/>
    <w:semiHidden/>
    <w:locked/>
    <w:rsid w:val="00D5277E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D5277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sid w:val="00D5277E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9"/>
    <w:semiHidden/>
    <w:locked/>
    <w:rsid w:val="00D5277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semiHidden/>
    <w:locked/>
    <w:rsid w:val="00D5277E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uiPriority w:val="99"/>
    <w:semiHidden/>
    <w:locked/>
    <w:rsid w:val="00D5277E"/>
    <w:rPr>
      <w:rFonts w:ascii="Cambria" w:eastAsia="新細明體" w:hAnsi="Cambria" w:cs="Times New Roman"/>
      <w:sz w:val="36"/>
      <w:szCs w:val="36"/>
    </w:rPr>
  </w:style>
  <w:style w:type="character" w:styleId="a3">
    <w:name w:val="page number"/>
    <w:basedOn w:val="a0"/>
    <w:uiPriority w:val="99"/>
    <w:rsid w:val="00F71ECC"/>
    <w:rPr>
      <w:rFonts w:cs="Times New Roman"/>
    </w:rPr>
  </w:style>
  <w:style w:type="paragraph" w:styleId="a4">
    <w:name w:val="footnote text"/>
    <w:basedOn w:val="a"/>
    <w:link w:val="a5"/>
    <w:uiPriority w:val="99"/>
    <w:semiHidden/>
    <w:rsid w:val="00F71ECC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locked/>
    <w:rsid w:val="00F71ECC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F71ECC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F71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71EC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806188"/>
    <w:pPr>
      <w:ind w:leftChars="200" w:left="480"/>
    </w:pPr>
  </w:style>
  <w:style w:type="character" w:customStyle="1" w:styleId="aa">
    <w:name w:val="清單段落 字元"/>
    <w:basedOn w:val="a0"/>
    <w:link w:val="a9"/>
    <w:uiPriority w:val="99"/>
    <w:locked/>
    <w:rsid w:val="00806188"/>
    <w:rPr>
      <w:rFonts w:ascii="Times New Roman" w:eastAsia="新細明體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B2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B21B42"/>
    <w:rPr>
      <w:rFonts w:ascii="Times New Roman" w:eastAsia="新細明體" w:hAnsi="Times New Roman" w:cs="Times New Roman"/>
      <w:sz w:val="20"/>
      <w:szCs w:val="20"/>
    </w:rPr>
  </w:style>
  <w:style w:type="character" w:customStyle="1" w:styleId="newscontent">
    <w:name w:val="news_content"/>
    <w:basedOn w:val="a0"/>
    <w:uiPriority w:val="99"/>
    <w:rsid w:val="00636217"/>
    <w:rPr>
      <w:rFonts w:cs="Times New Roman"/>
    </w:rPr>
  </w:style>
  <w:style w:type="paragraph" w:customStyle="1" w:styleId="xl24">
    <w:name w:val="xl24"/>
    <w:basedOn w:val="a"/>
    <w:uiPriority w:val="99"/>
    <w:rsid w:val="00D5277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uiPriority w:val="99"/>
    <w:rsid w:val="00B3745F"/>
  </w:style>
  <w:style w:type="paragraph" w:styleId="ad">
    <w:name w:val="Body Text"/>
    <w:basedOn w:val="a"/>
    <w:link w:val="ae"/>
    <w:uiPriority w:val="99"/>
    <w:semiHidden/>
    <w:unhideWhenUsed/>
    <w:rsid w:val="00462F28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462F28"/>
    <w:rPr>
      <w:rFonts w:ascii="Times New Roman" w:hAnsi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F1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F1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tures-announce.fundclear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tures-announce.fundclear.com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臺灣期貨交易所</dc:title>
  <dc:creator>Long</dc:creator>
  <cp:lastModifiedBy>交易部-溫士懿</cp:lastModifiedBy>
  <cp:revision>6</cp:revision>
  <cp:lastPrinted>2015-03-13T06:23:00Z</cp:lastPrinted>
  <dcterms:created xsi:type="dcterms:W3CDTF">2016-03-29T06:02:00Z</dcterms:created>
  <dcterms:modified xsi:type="dcterms:W3CDTF">2016-04-11T09:36:00Z</dcterms:modified>
</cp:coreProperties>
</file>